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B8" w:rsidRDefault="00394A5F" w:rsidP="00E967B8">
      <w:pPr>
        <w:spacing w:after="0" w:line="240" w:lineRule="auto"/>
        <w:jc w:val="center"/>
        <w:rPr>
          <w:b/>
          <w:sz w:val="28"/>
          <w:szCs w:val="28"/>
        </w:rPr>
      </w:pPr>
      <w:r>
        <w:rPr>
          <w:b/>
          <w:sz w:val="28"/>
          <w:szCs w:val="28"/>
        </w:rPr>
        <w:t xml:space="preserve"> </w:t>
      </w:r>
      <w:r w:rsidR="00E967B8">
        <w:rPr>
          <w:b/>
          <w:sz w:val="28"/>
          <w:szCs w:val="28"/>
        </w:rPr>
        <w:t>Programma 2</w:t>
      </w:r>
      <w:r w:rsidR="00E967B8" w:rsidRPr="00E967B8">
        <w:rPr>
          <w:b/>
          <w:sz w:val="28"/>
          <w:szCs w:val="28"/>
        </w:rPr>
        <w:t xml:space="preserve"> “A scuola … di salute”</w:t>
      </w:r>
    </w:p>
    <w:p w:rsidR="005943C6" w:rsidRPr="005943C6" w:rsidRDefault="00E967B8" w:rsidP="00E967B8">
      <w:pPr>
        <w:spacing w:after="0" w:line="240" w:lineRule="auto"/>
        <w:jc w:val="center"/>
        <w:rPr>
          <w:b/>
          <w:sz w:val="36"/>
          <w:szCs w:val="28"/>
        </w:rPr>
      </w:pPr>
      <w:r w:rsidRPr="005943C6">
        <w:rPr>
          <w:b/>
          <w:sz w:val="36"/>
          <w:szCs w:val="28"/>
        </w:rPr>
        <w:t>Azione n.1</w:t>
      </w:r>
    </w:p>
    <w:p w:rsidR="00E967B8" w:rsidRDefault="00E967B8" w:rsidP="00E967B8">
      <w:pPr>
        <w:spacing w:after="0" w:line="240" w:lineRule="auto"/>
        <w:jc w:val="center"/>
        <w:rPr>
          <w:b/>
          <w:sz w:val="28"/>
          <w:szCs w:val="28"/>
        </w:rPr>
      </w:pPr>
      <w:r w:rsidRPr="00E967B8">
        <w:rPr>
          <w:b/>
          <w:sz w:val="28"/>
          <w:szCs w:val="28"/>
        </w:rPr>
        <w:t>RETE ABRUZZESE DELLE SCUOLE PROMOTRICI DI SALUTE</w:t>
      </w:r>
    </w:p>
    <w:p w:rsidR="00E967B8" w:rsidRPr="00E967B8" w:rsidRDefault="00E967B8" w:rsidP="00E967B8">
      <w:pPr>
        <w:spacing w:after="0" w:line="240" w:lineRule="auto"/>
        <w:jc w:val="center"/>
        <w:rPr>
          <w:b/>
          <w:sz w:val="28"/>
          <w:szCs w:val="28"/>
        </w:rPr>
      </w:pPr>
    </w:p>
    <w:tbl>
      <w:tblPr>
        <w:tblStyle w:val="Grigliatabella"/>
        <w:tblW w:w="0" w:type="auto"/>
        <w:tblLook w:val="04A0" w:firstRow="1" w:lastRow="0" w:firstColumn="1" w:lastColumn="0" w:noHBand="0" w:noVBand="1"/>
      </w:tblPr>
      <w:tblGrid>
        <w:gridCol w:w="9778"/>
      </w:tblGrid>
      <w:tr w:rsidR="000449DC" w:rsidRPr="000449DC" w:rsidTr="000449DC">
        <w:tc>
          <w:tcPr>
            <w:tcW w:w="9778" w:type="dxa"/>
            <w:shd w:val="clear" w:color="auto" w:fill="D9D9D9" w:themeFill="background1" w:themeFillShade="D9"/>
          </w:tcPr>
          <w:p w:rsidR="000449DC" w:rsidRPr="0069156B" w:rsidRDefault="000449DC" w:rsidP="00F24A42">
            <w:r w:rsidRPr="0024457A">
              <w:rPr>
                <w:b/>
                <w:sz w:val="28"/>
                <w:szCs w:val="28"/>
              </w:rPr>
              <w:t>BREVE DESCRIZIONE</w:t>
            </w:r>
          </w:p>
        </w:tc>
      </w:tr>
      <w:tr w:rsidR="000449DC" w:rsidRPr="005C779C" w:rsidTr="003B094A">
        <w:trPr>
          <w:trHeight w:val="7087"/>
        </w:trPr>
        <w:tc>
          <w:tcPr>
            <w:tcW w:w="9778" w:type="dxa"/>
          </w:tcPr>
          <w:p w:rsidR="0069156B" w:rsidRPr="0069156B" w:rsidRDefault="0069156B" w:rsidP="00721390">
            <w:pPr>
              <w:spacing w:before="60" w:after="60"/>
              <w:ind w:firstLine="142"/>
              <w:jc w:val="both"/>
              <w:rPr>
                <w:sz w:val="24"/>
              </w:rPr>
            </w:pPr>
            <w:r w:rsidRPr="0069156B">
              <w:rPr>
                <w:sz w:val="24"/>
              </w:rPr>
              <w:t xml:space="preserve">L’azione consiste nella creazione della Rete Abruzzese delle Scuole Promotrici di Salute, presupposto essenziale per la costruzione di un </w:t>
            </w:r>
            <w:proofErr w:type="spellStart"/>
            <w:r w:rsidRPr="0069156B">
              <w:rPr>
                <w:i/>
                <w:sz w:val="24"/>
              </w:rPr>
              <w:t>setting</w:t>
            </w:r>
            <w:proofErr w:type="spellEnd"/>
            <w:r w:rsidRPr="0069156B">
              <w:rPr>
                <w:sz w:val="24"/>
              </w:rPr>
              <w:t xml:space="preserve"> di vita e di lavoro orientato globalmente alla promozione della salute dei membri dell’intera comunità scolastica, studenti, docenti, personale, famiglie in collegamento con il territorio di appartenenza.</w:t>
            </w:r>
          </w:p>
          <w:p w:rsidR="0069156B" w:rsidRPr="0069156B" w:rsidRDefault="0069156B" w:rsidP="00721390">
            <w:pPr>
              <w:spacing w:before="60" w:after="60"/>
              <w:ind w:firstLine="142"/>
              <w:jc w:val="both"/>
              <w:rPr>
                <w:sz w:val="24"/>
              </w:rPr>
            </w:pPr>
            <w:r w:rsidRPr="0069156B">
              <w:rPr>
                <w:sz w:val="24"/>
              </w:rPr>
              <w:t xml:space="preserve">Secondo i Principi della Scuola Promotrice di Salute individuati dalla </w:t>
            </w:r>
            <w:r w:rsidRPr="0069156B">
              <w:rPr>
                <w:i/>
                <w:sz w:val="24"/>
              </w:rPr>
              <w:t xml:space="preserve">International Union for </w:t>
            </w:r>
            <w:proofErr w:type="spellStart"/>
            <w:r w:rsidRPr="0069156B">
              <w:rPr>
                <w:i/>
                <w:sz w:val="24"/>
              </w:rPr>
              <w:t>Health</w:t>
            </w:r>
            <w:proofErr w:type="spellEnd"/>
            <w:r w:rsidRPr="0069156B">
              <w:rPr>
                <w:i/>
                <w:sz w:val="24"/>
              </w:rPr>
              <w:t xml:space="preserve"> Promotion and </w:t>
            </w:r>
            <w:proofErr w:type="spellStart"/>
            <w:r w:rsidRPr="0069156B">
              <w:rPr>
                <w:i/>
                <w:sz w:val="24"/>
              </w:rPr>
              <w:t>Education</w:t>
            </w:r>
            <w:proofErr w:type="spellEnd"/>
            <w:r w:rsidRPr="0069156B">
              <w:rPr>
                <w:sz w:val="24"/>
              </w:rPr>
              <w:t xml:space="preserve">, una scuola promuove salute quando: </w:t>
            </w:r>
          </w:p>
          <w:p w:rsidR="0069156B" w:rsidRPr="0069156B" w:rsidRDefault="0069156B" w:rsidP="00721390">
            <w:pPr>
              <w:pStyle w:val="Paragrafoelenco"/>
              <w:numPr>
                <w:ilvl w:val="0"/>
                <w:numId w:val="16"/>
              </w:numPr>
              <w:spacing w:before="60" w:after="60"/>
              <w:ind w:left="426" w:hanging="284"/>
            </w:pPr>
            <w:r w:rsidRPr="0069156B">
              <w:t xml:space="preserve">promuove la salute e il benessere dei propri studenti; cerca di migliorare i risultati di apprendimento degli alunni; sostiene i concetti di giustizia sociale ed equità; fornisce un ambiente sicuro e di supporto; richiede la partecipazione e </w:t>
            </w:r>
            <w:proofErr w:type="spellStart"/>
            <w:r w:rsidRPr="0069156B">
              <w:t>l’empowerment</w:t>
            </w:r>
            <w:proofErr w:type="spellEnd"/>
            <w:r w:rsidRPr="0069156B">
              <w:t xml:space="preserve"> degli studenti; mette in relazione i problemi e i sistemi propri della sanità e dell’istruzione; affronta questioni relative alla salute e al benessere di tutto il personale scolastico; collabora con i genitori e la comunità locale; inserisce la salute nelle attività correnti della scuola, nell’offerta formativa e negli standard di valutazione; stabilisce degli obiettivi realistici sulla base di dati precisi e solide evidenze scientifiche; cerca un miglioramento continuo attraverso un monitoraggio e una valutazione costanti  [IUHPE, 2011].</w:t>
            </w:r>
          </w:p>
          <w:p w:rsidR="0069156B" w:rsidRPr="0069156B" w:rsidRDefault="0069156B" w:rsidP="00721390">
            <w:pPr>
              <w:spacing w:before="60" w:after="60"/>
              <w:ind w:firstLine="142"/>
              <w:jc w:val="both"/>
              <w:rPr>
                <w:sz w:val="24"/>
              </w:rPr>
            </w:pPr>
            <w:r w:rsidRPr="0069156B">
              <w:rPr>
                <w:sz w:val="24"/>
              </w:rPr>
              <w:t xml:space="preserve">Sono stati individuati, poi, i seguenti 6 ‘elementi essenziali’ per la promozione della salute nelle scuole, cioè ambiti di azione su cui concentrare le concrete attività progettuali e le modifiche funzionali all’organizzazione della vita e del lavoro quotidiani all’interno del </w:t>
            </w:r>
            <w:proofErr w:type="spellStart"/>
            <w:r w:rsidRPr="0069156B">
              <w:rPr>
                <w:i/>
                <w:sz w:val="24"/>
              </w:rPr>
              <w:t>setting</w:t>
            </w:r>
            <w:proofErr w:type="spellEnd"/>
            <w:r w:rsidRPr="0069156B">
              <w:rPr>
                <w:sz w:val="24"/>
              </w:rPr>
              <w:t xml:space="preserve"> scolastico [IUHPE, 2011] </w:t>
            </w:r>
          </w:p>
          <w:p w:rsidR="0069156B" w:rsidRPr="0069156B" w:rsidRDefault="0069156B" w:rsidP="00721390">
            <w:pPr>
              <w:pStyle w:val="Paragrafoelenco"/>
              <w:numPr>
                <w:ilvl w:val="0"/>
                <w:numId w:val="17"/>
              </w:numPr>
              <w:spacing w:before="60" w:after="60"/>
              <w:ind w:left="426" w:hanging="284"/>
            </w:pPr>
            <w:r w:rsidRPr="0069156B">
              <w:t>Le Politiche per una scuola in salute. Queste politiche sono definite in modo chiaro in alcuni documenti o attraverso prassi condivise di promozione della salute e del benessere. Sono molte le politiche che promuovono la salute e il benessere, come ad esempio quelle che favoriscono il consumo di cibi sani all’interno della scuola o quelle che scoraggiano il bullismo.</w:t>
            </w:r>
          </w:p>
          <w:p w:rsidR="0069156B" w:rsidRPr="0069156B" w:rsidRDefault="0069156B" w:rsidP="00721390">
            <w:pPr>
              <w:pStyle w:val="Paragrafoelenco"/>
              <w:numPr>
                <w:ilvl w:val="0"/>
                <w:numId w:val="17"/>
              </w:numPr>
              <w:spacing w:before="60" w:after="60"/>
              <w:ind w:left="426" w:hanging="284"/>
            </w:pPr>
            <w:r w:rsidRPr="0069156B">
              <w:t xml:space="preserve">L’ambiente fisico della scuola. La nozione di ambiente fisico della scuola fa riferimento agli edifici, alle aree verdi e alle attrezzature all’interno e all’esterno dell’edificio scolastico e </w:t>
            </w:r>
            <w:r w:rsidR="00721390">
              <w:t>comprende: la progettazione</w:t>
            </w:r>
            <w:r w:rsidRPr="0069156B">
              <w:t xml:space="preserve"> degli edifici, l’uso della luce naturale e delle zone d’ombra in modo appropriato, la creazione di spazi in cui praticare l’attività fisica e le strutture che permettono di imparare e di mangiare in modo sano. L’ambiente fisico fa riferimento anche alla manutenzione di base, come la cura dei servizi e delle pratiche igieniche da adottare per prevenire la diffusione delle malattie, alla disponibilità di acqua potabile e sana, alla salubrità dell’aria e all’eventuale presenza di sostanze inquinanti ambientali, biologiche o chimiche, nocive per la salute.</w:t>
            </w:r>
          </w:p>
          <w:p w:rsidR="0069156B" w:rsidRPr="0069156B" w:rsidRDefault="0069156B" w:rsidP="00721390">
            <w:pPr>
              <w:pStyle w:val="Paragrafoelenco"/>
              <w:numPr>
                <w:ilvl w:val="0"/>
                <w:numId w:val="17"/>
              </w:numPr>
              <w:spacing w:before="60" w:after="60"/>
              <w:ind w:left="426" w:hanging="284"/>
            </w:pPr>
            <w:r w:rsidRPr="0069156B">
              <w:t>L’ambiente sociale della scuola. L’ambiente sociale della scuola è una combinazione della qualità delle relazioni tra il personale stesso, e tra il personale e gli studenti. E’ influenzato dai rapporti con i genitori e con la comunità più ampia.</w:t>
            </w:r>
          </w:p>
          <w:p w:rsidR="0069156B" w:rsidRPr="0069156B" w:rsidRDefault="0069156B" w:rsidP="00721390">
            <w:pPr>
              <w:pStyle w:val="Paragrafoelenco"/>
              <w:numPr>
                <w:ilvl w:val="0"/>
                <w:numId w:val="17"/>
              </w:numPr>
              <w:spacing w:before="60" w:after="60"/>
              <w:ind w:left="426" w:hanging="284"/>
            </w:pPr>
            <w:r w:rsidRPr="0069156B">
              <w:t>Le competenze individuali in materia di salute e la capacità di agire. Ciò s</w:t>
            </w:r>
            <w:r w:rsidR="001504C4">
              <w:t>i riferisce a tutte le attività</w:t>
            </w:r>
            <w:r w:rsidRPr="0069156B">
              <w:t xml:space="preserve"> (formali e informali previste nei programmi ufficiali) attraverso le quali gli studenti acquisiscono, in funzione all’età, le conoscenze, le competenze e le esperienze necessarie per sviluppare delle capacità e intraprendere delle azioni volte a migliorare la salute e il benessere, per sé come pure per gli altri membri della comunità e a migliorare anche il rendimento scolastico.</w:t>
            </w:r>
          </w:p>
          <w:p w:rsidR="0069156B" w:rsidRPr="0069156B" w:rsidRDefault="0069156B" w:rsidP="00721390">
            <w:pPr>
              <w:pStyle w:val="Paragrafoelenco"/>
              <w:numPr>
                <w:ilvl w:val="0"/>
                <w:numId w:val="17"/>
              </w:numPr>
              <w:spacing w:before="60" w:after="60"/>
              <w:ind w:left="426" w:hanging="284"/>
            </w:pPr>
            <w:r w:rsidRPr="0069156B">
              <w:t>I Legami con la comunità. I legami con la comunità sono le relazioni tra la scuola e le famiglie degli studenti e tra la scuola e i gruppi o gli individui-chiave a livello locale. Un’adeguata consultazione e partecipazione con questi portatori di interesse rafforza la HPS e offre agli studenti e al personale un contesto ed un supporto per le loro azioni.</w:t>
            </w:r>
          </w:p>
          <w:p w:rsidR="0069156B" w:rsidRPr="0069156B" w:rsidRDefault="0069156B" w:rsidP="00721390">
            <w:pPr>
              <w:pStyle w:val="Paragrafoelenco"/>
              <w:numPr>
                <w:ilvl w:val="0"/>
                <w:numId w:val="17"/>
              </w:numPr>
              <w:spacing w:before="60" w:after="60"/>
              <w:ind w:left="426" w:hanging="284"/>
            </w:pPr>
            <w:r w:rsidRPr="0069156B">
              <w:t xml:space="preserve">I Servizi sanitari. Si tratta di servizi locali e regionali interni alla scuola o ad essa correlati, preposti </w:t>
            </w:r>
            <w:r w:rsidRPr="0069156B">
              <w:lastRenderedPageBreak/>
              <w:t>all’assistenza sanitaria e alla promozione della salute per i bambini e gli adolescenti, che forniscono servizi indirizzati agli studenti (compresi quelli con specifiche necessità). Essi comprendono: 1) Screening e valutazioni condotte da operatori qualificati; 2) Servizi per la salute mentale (incluse le consulenze) per promuovere lo sviluppo sociale ed emotivo degli studenti, per prevenire o ridurre gli ostacoli allo sviluppo intellettuale e all’apprendimento; per ridurre o prevenire lo stress e i disturbi mentali, emotivi e psicologici e migliorare le interazioni sociali per tutti gli studenti.</w:t>
            </w:r>
          </w:p>
          <w:p w:rsidR="0069156B" w:rsidRPr="0069156B" w:rsidRDefault="001504C4" w:rsidP="00142DCA">
            <w:pPr>
              <w:spacing w:before="60" w:after="60"/>
              <w:ind w:firstLine="142"/>
              <w:jc w:val="both"/>
              <w:rPr>
                <w:sz w:val="24"/>
              </w:rPr>
            </w:pPr>
            <w:r w:rsidRPr="001504C4">
              <w:rPr>
                <w:sz w:val="24"/>
              </w:rPr>
              <w:t xml:space="preserve">Operativamente la Rete sarà creata e gestita nella Regione Abruzzo da una struttura di servizio </w:t>
            </w:r>
            <w:proofErr w:type="spellStart"/>
            <w:r w:rsidRPr="001504C4">
              <w:rPr>
                <w:sz w:val="24"/>
              </w:rPr>
              <w:t>interistituzionale</w:t>
            </w:r>
            <w:proofErr w:type="spellEnd"/>
            <w:r w:rsidRPr="001504C4">
              <w:rPr>
                <w:sz w:val="24"/>
              </w:rPr>
              <w:t>, l’</w:t>
            </w:r>
            <w:r w:rsidRPr="001504C4">
              <w:rPr>
                <w:b/>
                <w:sz w:val="24"/>
              </w:rPr>
              <w:t>Osservatorio Regionale Abruzzese per la Scuola Promotrice di Salute (ORASPS)</w:t>
            </w:r>
            <w:r w:rsidRPr="001504C4">
              <w:rPr>
                <w:sz w:val="24"/>
              </w:rPr>
              <w:t>, mediante uno staff di progetto composto da: Regione (con funzione di coordinamento),  personale sanitario, scolastico e universitario.</w:t>
            </w:r>
            <w:r w:rsidR="0069156B" w:rsidRPr="0069156B">
              <w:rPr>
                <w:sz w:val="24"/>
              </w:rPr>
              <w:t xml:space="preserve">. </w:t>
            </w:r>
          </w:p>
          <w:p w:rsidR="0069156B" w:rsidRPr="0069156B" w:rsidRDefault="0069156B" w:rsidP="00142DCA">
            <w:pPr>
              <w:spacing w:before="60" w:after="60"/>
              <w:ind w:firstLine="142"/>
              <w:jc w:val="both"/>
              <w:rPr>
                <w:sz w:val="24"/>
              </w:rPr>
            </w:pPr>
            <w:r w:rsidRPr="0069156B">
              <w:rPr>
                <w:sz w:val="24"/>
              </w:rPr>
              <w:t>Nel concreto si procederà alla costruzione della Rete ASPS:</w:t>
            </w:r>
          </w:p>
          <w:p w:rsidR="0069156B" w:rsidRPr="0069156B" w:rsidRDefault="0069156B" w:rsidP="0069156B">
            <w:pPr>
              <w:pStyle w:val="Paragrafoelenco"/>
              <w:numPr>
                <w:ilvl w:val="0"/>
                <w:numId w:val="16"/>
              </w:numPr>
              <w:spacing w:before="60" w:after="60"/>
              <w:ind w:left="709" w:hanging="283"/>
            </w:pPr>
            <w:r w:rsidRPr="0069156B">
              <w:t>proponendo l’adesione formale a tutte le scuole del territorio regionale;</w:t>
            </w:r>
          </w:p>
          <w:p w:rsidR="0069156B" w:rsidRPr="0069156B" w:rsidRDefault="0069156B" w:rsidP="0069156B">
            <w:pPr>
              <w:pStyle w:val="Paragrafoelenco"/>
              <w:numPr>
                <w:ilvl w:val="0"/>
                <w:numId w:val="16"/>
              </w:numPr>
              <w:spacing w:before="60" w:after="60"/>
              <w:ind w:left="709" w:hanging="283"/>
            </w:pPr>
            <w:r w:rsidRPr="0069156B">
              <w:t xml:space="preserve">formando dirigenti e insegnanti ai principi della </w:t>
            </w:r>
            <w:proofErr w:type="spellStart"/>
            <w:r w:rsidRPr="0069156B">
              <w:rPr>
                <w:i/>
              </w:rPr>
              <w:t>Health</w:t>
            </w:r>
            <w:proofErr w:type="spellEnd"/>
            <w:r w:rsidRPr="0069156B">
              <w:rPr>
                <w:i/>
              </w:rPr>
              <w:t xml:space="preserve"> </w:t>
            </w:r>
            <w:proofErr w:type="spellStart"/>
            <w:r w:rsidRPr="0069156B">
              <w:rPr>
                <w:i/>
              </w:rPr>
              <w:t>Promoting</w:t>
            </w:r>
            <w:proofErr w:type="spellEnd"/>
            <w:r w:rsidRPr="0069156B">
              <w:rPr>
                <w:i/>
              </w:rPr>
              <w:t xml:space="preserve"> School</w:t>
            </w:r>
            <w:r w:rsidRPr="0069156B">
              <w:t>;</w:t>
            </w:r>
          </w:p>
          <w:p w:rsidR="0069156B" w:rsidRPr="0069156B" w:rsidRDefault="0069156B" w:rsidP="0069156B">
            <w:pPr>
              <w:pStyle w:val="Paragrafoelenco"/>
              <w:numPr>
                <w:ilvl w:val="0"/>
                <w:numId w:val="16"/>
              </w:numPr>
              <w:spacing w:before="60" w:after="60"/>
              <w:ind w:left="709" w:hanging="283"/>
            </w:pPr>
            <w:r w:rsidRPr="0069156B">
              <w:t>applicando un sistema circolare di monitoraggio e programmazione basato su un sistema strutturato di indicatori;</w:t>
            </w:r>
          </w:p>
          <w:p w:rsidR="0069156B" w:rsidRPr="0069156B" w:rsidRDefault="0069156B" w:rsidP="0069156B">
            <w:pPr>
              <w:pStyle w:val="Paragrafoelenco"/>
              <w:numPr>
                <w:ilvl w:val="0"/>
                <w:numId w:val="16"/>
              </w:numPr>
              <w:spacing w:before="60" w:after="60"/>
              <w:ind w:left="709" w:hanging="283"/>
            </w:pPr>
            <w:r w:rsidRPr="0069156B">
              <w:t>supportando le scuole nella scelta e nella supervisione dei progetti specifici;</w:t>
            </w:r>
          </w:p>
          <w:p w:rsidR="0069156B" w:rsidRPr="0069156B" w:rsidRDefault="0069156B" w:rsidP="0069156B">
            <w:pPr>
              <w:pStyle w:val="Paragrafoelenco"/>
              <w:numPr>
                <w:ilvl w:val="0"/>
                <w:numId w:val="16"/>
              </w:numPr>
              <w:spacing w:before="60" w:after="60"/>
              <w:ind w:left="709" w:hanging="283"/>
            </w:pPr>
            <w:r w:rsidRPr="0069156B">
              <w:t xml:space="preserve">favorendo il collegamento tra scuole e con altri </w:t>
            </w:r>
            <w:r w:rsidRPr="0069156B">
              <w:rPr>
                <w:i/>
              </w:rPr>
              <w:t>network</w:t>
            </w:r>
            <w:r w:rsidRPr="0069156B">
              <w:t xml:space="preserve"> (in particolare con il già citato </w:t>
            </w:r>
            <w:r w:rsidRPr="0069156B">
              <w:rPr>
                <w:i/>
              </w:rPr>
              <w:t>network</w:t>
            </w:r>
            <w:r w:rsidRPr="0069156B">
              <w:t xml:space="preserve"> europeo </w:t>
            </w:r>
            <w:r w:rsidRPr="0069156B">
              <w:rPr>
                <w:i/>
              </w:rPr>
              <w:t xml:space="preserve">School for </w:t>
            </w:r>
            <w:proofErr w:type="spellStart"/>
            <w:r w:rsidRPr="0069156B">
              <w:rPr>
                <w:i/>
              </w:rPr>
              <w:t>Health</w:t>
            </w:r>
            <w:proofErr w:type="spellEnd"/>
            <w:r w:rsidRPr="0069156B">
              <w:rPr>
                <w:i/>
              </w:rPr>
              <w:t xml:space="preserve"> in Europe</w:t>
            </w:r>
            <w:r w:rsidRPr="0069156B">
              <w:t xml:space="preserve"> SHE) mediante piattaforme web, incontri, news.</w:t>
            </w:r>
          </w:p>
          <w:p w:rsidR="000449DC" w:rsidRPr="0069156B" w:rsidRDefault="0069156B" w:rsidP="003B094A">
            <w:pPr>
              <w:spacing w:before="60" w:after="60"/>
              <w:ind w:firstLine="142"/>
              <w:jc w:val="both"/>
            </w:pPr>
            <w:r w:rsidRPr="0069156B">
              <w:rPr>
                <w:sz w:val="24"/>
              </w:rPr>
              <w:t>L’ORASPS potrà riunirsi periodicamente con il compito di raccogliere le adesioni alla Rete ASPS e connetterle al network SHE, mantenere la rete locale di collegamenti tra scuole e istituzioni, favorire l’implementazione delle azioni previste dal presente Piano Regionale della Prevenzione, individuare bisogni emergenti, proporre soluzioni e modifiche, organizzare eventi formativi, divulgativi e di condivisione, favorire la sperimentazione di azioni sul campo improntate all’</w:t>
            </w:r>
            <w:proofErr w:type="spellStart"/>
            <w:r w:rsidRPr="0069156B">
              <w:rPr>
                <w:i/>
                <w:sz w:val="24"/>
              </w:rPr>
              <w:t>Evidence</w:t>
            </w:r>
            <w:proofErr w:type="spellEnd"/>
            <w:r w:rsidRPr="0069156B">
              <w:rPr>
                <w:i/>
                <w:sz w:val="24"/>
              </w:rPr>
              <w:t xml:space="preserve"> </w:t>
            </w:r>
            <w:proofErr w:type="spellStart"/>
            <w:r w:rsidRPr="0069156B">
              <w:rPr>
                <w:i/>
                <w:sz w:val="24"/>
              </w:rPr>
              <w:t>Health</w:t>
            </w:r>
            <w:proofErr w:type="spellEnd"/>
            <w:r w:rsidRPr="0069156B">
              <w:rPr>
                <w:i/>
                <w:sz w:val="24"/>
              </w:rPr>
              <w:t xml:space="preserve"> Promotion</w:t>
            </w:r>
            <w:r w:rsidRPr="0069156B">
              <w:rPr>
                <w:sz w:val="24"/>
              </w:rPr>
              <w:t>.</w:t>
            </w:r>
          </w:p>
        </w:tc>
      </w:tr>
      <w:tr w:rsidR="000449DC" w:rsidRPr="000449DC" w:rsidTr="000449DC">
        <w:tc>
          <w:tcPr>
            <w:tcW w:w="9778" w:type="dxa"/>
            <w:shd w:val="clear" w:color="auto" w:fill="D9D9D9" w:themeFill="background1" w:themeFillShade="D9"/>
          </w:tcPr>
          <w:p w:rsidR="000449DC" w:rsidRPr="0069156B" w:rsidRDefault="000449DC">
            <w:r w:rsidRPr="0069156B">
              <w:rPr>
                <w:b/>
                <w:sz w:val="28"/>
                <w:szCs w:val="28"/>
              </w:rPr>
              <w:lastRenderedPageBreak/>
              <w:t>EVIDENZE DI EFFICACIA</w:t>
            </w:r>
          </w:p>
        </w:tc>
      </w:tr>
      <w:tr w:rsidR="000449DC" w:rsidRPr="00160152" w:rsidTr="000449DC">
        <w:tc>
          <w:tcPr>
            <w:tcW w:w="9778" w:type="dxa"/>
          </w:tcPr>
          <w:p w:rsidR="0069156B" w:rsidRPr="0069156B" w:rsidRDefault="0069156B" w:rsidP="00142DCA">
            <w:pPr>
              <w:spacing w:before="60" w:after="60"/>
              <w:ind w:firstLine="142"/>
              <w:jc w:val="both"/>
              <w:rPr>
                <w:sz w:val="24"/>
              </w:rPr>
            </w:pPr>
            <w:r w:rsidRPr="0069156B">
              <w:rPr>
                <w:sz w:val="24"/>
              </w:rPr>
              <w:t xml:space="preserve">In linea con l’approccio più rigoroso della </w:t>
            </w:r>
            <w:proofErr w:type="spellStart"/>
            <w:r w:rsidRPr="0069156B">
              <w:rPr>
                <w:i/>
                <w:sz w:val="24"/>
              </w:rPr>
              <w:t>Evidence</w:t>
            </w:r>
            <w:proofErr w:type="spellEnd"/>
            <w:r w:rsidRPr="0069156B">
              <w:rPr>
                <w:i/>
                <w:sz w:val="24"/>
              </w:rPr>
              <w:t xml:space="preserve"> </w:t>
            </w:r>
            <w:proofErr w:type="spellStart"/>
            <w:r w:rsidRPr="0069156B">
              <w:rPr>
                <w:i/>
                <w:sz w:val="24"/>
              </w:rPr>
              <w:t>Based</w:t>
            </w:r>
            <w:proofErr w:type="spellEnd"/>
            <w:r w:rsidRPr="0069156B">
              <w:rPr>
                <w:i/>
                <w:sz w:val="24"/>
              </w:rPr>
              <w:t xml:space="preserve"> </w:t>
            </w:r>
            <w:proofErr w:type="spellStart"/>
            <w:r w:rsidRPr="0069156B">
              <w:rPr>
                <w:i/>
                <w:sz w:val="24"/>
              </w:rPr>
              <w:t>Prevention</w:t>
            </w:r>
            <w:proofErr w:type="spellEnd"/>
            <w:r w:rsidRPr="0069156B">
              <w:rPr>
                <w:sz w:val="24"/>
              </w:rPr>
              <w:t xml:space="preserve">, una recentissima revisione </w:t>
            </w:r>
            <w:proofErr w:type="spellStart"/>
            <w:r w:rsidRPr="0069156B">
              <w:rPr>
                <w:sz w:val="24"/>
              </w:rPr>
              <w:t>Cochrane</w:t>
            </w:r>
            <w:proofErr w:type="spellEnd"/>
            <w:r w:rsidRPr="0069156B">
              <w:rPr>
                <w:sz w:val="24"/>
              </w:rPr>
              <w:t xml:space="preserve"> del 2015 ha dimostrato l’efficacia dell’impianto ‘</w:t>
            </w:r>
            <w:proofErr w:type="spellStart"/>
            <w:r w:rsidRPr="0069156B">
              <w:rPr>
                <w:i/>
                <w:sz w:val="24"/>
              </w:rPr>
              <w:t>comprehensive</w:t>
            </w:r>
            <w:proofErr w:type="spellEnd"/>
            <w:r w:rsidRPr="0069156B">
              <w:rPr>
                <w:i/>
                <w:sz w:val="24"/>
              </w:rPr>
              <w:t>’</w:t>
            </w:r>
            <w:r w:rsidRPr="0069156B">
              <w:rPr>
                <w:sz w:val="24"/>
              </w:rPr>
              <w:t xml:space="preserve"> della </w:t>
            </w:r>
            <w:proofErr w:type="spellStart"/>
            <w:r w:rsidRPr="0069156B">
              <w:rPr>
                <w:i/>
                <w:sz w:val="24"/>
              </w:rPr>
              <w:t>Health</w:t>
            </w:r>
            <w:proofErr w:type="spellEnd"/>
            <w:r w:rsidRPr="0069156B">
              <w:rPr>
                <w:i/>
                <w:sz w:val="24"/>
              </w:rPr>
              <w:t xml:space="preserve"> </w:t>
            </w:r>
            <w:proofErr w:type="spellStart"/>
            <w:r w:rsidRPr="0069156B">
              <w:rPr>
                <w:i/>
                <w:sz w:val="24"/>
              </w:rPr>
              <w:t>Promoting</w:t>
            </w:r>
            <w:proofErr w:type="spellEnd"/>
            <w:r w:rsidRPr="0069156B">
              <w:rPr>
                <w:i/>
                <w:sz w:val="24"/>
              </w:rPr>
              <w:t xml:space="preserve"> School</w:t>
            </w:r>
            <w:r w:rsidRPr="0069156B">
              <w:rPr>
                <w:sz w:val="24"/>
              </w:rPr>
              <w:t xml:space="preserve"> nel miglioramento di alcuni aspetti della salute degli studenti. In particolare gli effetti significativi riscontrati nella </w:t>
            </w:r>
            <w:proofErr w:type="spellStart"/>
            <w:r w:rsidRPr="0069156B">
              <w:rPr>
                <w:sz w:val="24"/>
              </w:rPr>
              <w:t>metanalisi</w:t>
            </w:r>
            <w:proofErr w:type="spellEnd"/>
            <w:r w:rsidRPr="0069156B">
              <w:rPr>
                <w:sz w:val="24"/>
              </w:rPr>
              <w:t xml:space="preserve"> riguardano il sovrappeso, i livelli di attività fisica, la forma fisica, il consumo di frutta e verdura, il fumo di tabacco e il bullismo nelle scuole che hanno adottato la struttura HPS [</w:t>
            </w:r>
            <w:proofErr w:type="spellStart"/>
            <w:r w:rsidRPr="0069156B">
              <w:rPr>
                <w:sz w:val="24"/>
              </w:rPr>
              <w:t>Langford</w:t>
            </w:r>
            <w:proofErr w:type="spellEnd"/>
            <w:r w:rsidRPr="0069156B">
              <w:rPr>
                <w:sz w:val="24"/>
              </w:rPr>
              <w:t xml:space="preserve"> et al, 2015].</w:t>
            </w:r>
          </w:p>
          <w:p w:rsidR="0069156B" w:rsidRPr="0069156B" w:rsidRDefault="0069156B" w:rsidP="00142DCA">
            <w:pPr>
              <w:spacing w:before="60" w:after="60"/>
              <w:ind w:firstLine="142"/>
              <w:jc w:val="both"/>
              <w:rPr>
                <w:sz w:val="24"/>
              </w:rPr>
            </w:pPr>
            <w:r w:rsidRPr="0069156B">
              <w:rPr>
                <w:sz w:val="24"/>
              </w:rPr>
              <w:t>In più, da una sintesi dei principali risultati di studi valutativi, la IUHPE riscontra una sostanziale corrispondenza tra gli obiettivi educativi e quelli di salute di una scuola [IUHPE, 2010]:</w:t>
            </w:r>
          </w:p>
          <w:p w:rsidR="0069156B" w:rsidRPr="0069156B" w:rsidRDefault="0069156B" w:rsidP="003B094A">
            <w:pPr>
              <w:pStyle w:val="Paragrafoelenco"/>
              <w:numPr>
                <w:ilvl w:val="0"/>
                <w:numId w:val="16"/>
              </w:numPr>
              <w:spacing w:before="60" w:after="60"/>
              <w:ind w:left="284" w:hanging="284"/>
            </w:pPr>
            <w:r w:rsidRPr="0069156B">
              <w:t xml:space="preserve">i risultati di salute ed educativi migliorano se la scuola utilizza l’approccio </w:t>
            </w:r>
            <w:r w:rsidR="00142DCA">
              <w:t>HPS</w:t>
            </w:r>
            <w:r w:rsidRPr="0069156B">
              <w:t xml:space="preserve"> per affrontare le questioni relative alla salute in un contesto educativo;</w:t>
            </w:r>
          </w:p>
          <w:p w:rsidR="0069156B" w:rsidRPr="0069156B" w:rsidRDefault="0069156B" w:rsidP="003B094A">
            <w:pPr>
              <w:pStyle w:val="Paragrafoelenco"/>
              <w:numPr>
                <w:ilvl w:val="0"/>
                <w:numId w:val="16"/>
              </w:numPr>
              <w:spacing w:before="60" w:after="60"/>
              <w:ind w:left="284" w:hanging="284"/>
            </w:pPr>
            <w:r w:rsidRPr="0069156B">
              <w:t xml:space="preserve">le azioni basate su determinanti ‘multipli’ di salute sono più efficaci nell’ottenere risultati di salute ed educativi, rispetto agli interventi svolti solo in classe o agli interventi su singole tematiche o determinanti; </w:t>
            </w:r>
          </w:p>
          <w:p w:rsidR="0069156B" w:rsidRPr="0069156B" w:rsidRDefault="0069156B" w:rsidP="003B094A">
            <w:pPr>
              <w:pStyle w:val="Paragrafoelenco"/>
              <w:numPr>
                <w:ilvl w:val="0"/>
                <w:numId w:val="16"/>
              </w:numPr>
              <w:spacing w:before="60" w:after="60"/>
              <w:ind w:left="284" w:hanging="284"/>
            </w:pPr>
            <w:r w:rsidRPr="0069156B">
              <w:t xml:space="preserve">i fattori che incidono sull’apprendimento sono </w:t>
            </w:r>
            <w:r w:rsidR="00142DCA">
              <w:t xml:space="preserve">prevalentemente </w:t>
            </w:r>
            <w:r w:rsidRPr="0069156B">
              <w:t xml:space="preserve">socio-emotivi, come ad esempio interazioni studente-insegnante e insegnante-insegnante, cultura della scuola, clima di classe, rapporti con il gruppo dei pari; </w:t>
            </w:r>
          </w:p>
          <w:p w:rsidR="0069156B" w:rsidRPr="0069156B" w:rsidRDefault="0069156B" w:rsidP="003B094A">
            <w:pPr>
              <w:pStyle w:val="Paragrafoelenco"/>
              <w:numPr>
                <w:ilvl w:val="0"/>
                <w:numId w:val="16"/>
              </w:numPr>
              <w:spacing w:before="60" w:after="60"/>
              <w:ind w:left="284" w:hanging="284"/>
            </w:pPr>
            <w:r w:rsidRPr="0069156B">
              <w:t xml:space="preserve">i fattori socio-emotivi sono fondamentali per il modo in cui opera </w:t>
            </w:r>
            <w:r w:rsidR="00142DCA">
              <w:t>l’HPS</w:t>
            </w:r>
            <w:r w:rsidRPr="0069156B">
              <w:t xml:space="preserve"> e per come le scuole raggiungono i loro obiettivi educativi e di salute;</w:t>
            </w:r>
          </w:p>
          <w:p w:rsidR="0069156B" w:rsidRPr="0069156B" w:rsidRDefault="0069156B" w:rsidP="003B094A">
            <w:pPr>
              <w:pStyle w:val="Paragrafoelenco"/>
              <w:numPr>
                <w:ilvl w:val="0"/>
                <w:numId w:val="16"/>
              </w:numPr>
              <w:spacing w:before="60" w:after="60"/>
              <w:ind w:left="284" w:hanging="284"/>
            </w:pPr>
            <w:r w:rsidRPr="0069156B">
              <w:t>un approccio globale alla scuola, in cui vi è coerenza tra le politiche della scuola e le pratiche che promuovono l’integrazione sociale e l’impegno a livello educativo, facilita realmente i risultati in termini di apprendimento, aumenta il benessere emotivo e riduce i comportamenti a rischio per la salute.</w:t>
            </w:r>
          </w:p>
          <w:p w:rsidR="0069156B" w:rsidRPr="0069156B" w:rsidRDefault="0069156B" w:rsidP="0039237B">
            <w:pPr>
              <w:pStyle w:val="Paragrafoelenco"/>
              <w:rPr>
                <w:rFonts w:cstheme="minorHAnsi"/>
              </w:rPr>
            </w:pPr>
          </w:p>
        </w:tc>
      </w:tr>
      <w:tr w:rsidR="000449DC" w:rsidRPr="000449DC" w:rsidTr="000449DC">
        <w:tc>
          <w:tcPr>
            <w:tcW w:w="9778" w:type="dxa"/>
            <w:shd w:val="clear" w:color="auto" w:fill="D9D9D9" w:themeFill="background1" w:themeFillShade="D9"/>
          </w:tcPr>
          <w:p w:rsidR="000449DC" w:rsidRPr="0069156B" w:rsidRDefault="000449DC" w:rsidP="00142DCA">
            <w:r w:rsidRPr="0069156B">
              <w:rPr>
                <w:b/>
                <w:sz w:val="28"/>
                <w:szCs w:val="28"/>
              </w:rPr>
              <w:lastRenderedPageBreak/>
              <w:t>EVIDENZA DI SOSTENIBILIT</w:t>
            </w:r>
            <w:r w:rsidR="00142DCA">
              <w:rPr>
                <w:b/>
                <w:sz w:val="28"/>
                <w:szCs w:val="28"/>
              </w:rPr>
              <w:t>À</w:t>
            </w:r>
          </w:p>
        </w:tc>
      </w:tr>
      <w:tr w:rsidR="000449DC" w:rsidRPr="005C779C" w:rsidTr="000449DC">
        <w:tc>
          <w:tcPr>
            <w:tcW w:w="9778" w:type="dxa"/>
          </w:tcPr>
          <w:p w:rsidR="000449DC" w:rsidRPr="0069156B" w:rsidRDefault="000449DC" w:rsidP="006E2488">
            <w:pPr>
              <w:pStyle w:val="Paragrafoelenco"/>
              <w:ind w:left="644"/>
              <w:rPr>
                <w:rFonts w:cstheme="minorHAnsi"/>
              </w:rPr>
            </w:pPr>
          </w:p>
          <w:p w:rsidR="0069156B" w:rsidRPr="0069156B" w:rsidRDefault="0069156B" w:rsidP="00142DCA">
            <w:pPr>
              <w:spacing w:before="60" w:after="60"/>
              <w:ind w:firstLine="142"/>
              <w:jc w:val="both"/>
              <w:rPr>
                <w:sz w:val="24"/>
              </w:rPr>
            </w:pPr>
            <w:r w:rsidRPr="0069156B">
              <w:rPr>
                <w:sz w:val="24"/>
              </w:rPr>
              <w:t xml:space="preserve">Sulla base delle esperienze europee e regionali italiane riportate in premessa al presente Programma, è plausibile la creazione di una coesione tra diversi </w:t>
            </w:r>
            <w:proofErr w:type="spellStart"/>
            <w:r w:rsidRPr="0069156B">
              <w:rPr>
                <w:i/>
                <w:sz w:val="24"/>
              </w:rPr>
              <w:t>stakeholders</w:t>
            </w:r>
            <w:proofErr w:type="spellEnd"/>
            <w:r w:rsidRPr="0069156B">
              <w:rPr>
                <w:sz w:val="24"/>
              </w:rPr>
              <w:t xml:space="preserve"> che contribuisce all’innesco di un cambiamento di comunità.</w:t>
            </w:r>
          </w:p>
          <w:p w:rsidR="0069156B" w:rsidRPr="0069156B" w:rsidRDefault="0069156B" w:rsidP="00142DCA">
            <w:pPr>
              <w:spacing w:before="60" w:after="60"/>
              <w:ind w:firstLine="142"/>
              <w:jc w:val="both"/>
              <w:rPr>
                <w:sz w:val="24"/>
              </w:rPr>
            </w:pPr>
            <w:r w:rsidRPr="0069156B">
              <w:rPr>
                <w:sz w:val="24"/>
              </w:rPr>
              <w:t>Inoltre, vi sono molte risorse disponibili per aiutare il personale scolastico e i loro partner che lavorano nei settori della sanità e dell’istruzione a pianificare, implementare e valutare le iniziative per la salute nella scuola. Esse possono presentarsi sotto forma di linee guida basate sull’evidenza, di strumenti per la sorveglianza, di approcci valutativi, ecc. Molte di queste risorse si possono trovare sui siti web di organizzazioni internazionali e di quelle agenzie e organizzazioni nazionali e regionali (ad esempio Ministeri della salute, e dell’istruzione e organizzazioni non governative), che hanno la responsabilità di promuovere i risultati di salute ed educativi dei giovani.</w:t>
            </w:r>
          </w:p>
          <w:p w:rsidR="0069156B" w:rsidRPr="0069156B" w:rsidRDefault="0069156B" w:rsidP="00142DCA">
            <w:pPr>
              <w:spacing w:before="60" w:after="60"/>
              <w:ind w:firstLine="142"/>
              <w:jc w:val="both"/>
              <w:rPr>
                <w:sz w:val="24"/>
              </w:rPr>
            </w:pPr>
            <w:r w:rsidRPr="0069156B">
              <w:rPr>
                <w:sz w:val="24"/>
              </w:rPr>
              <w:t xml:space="preserve">Il network SHE ha reso disponibile un manuale online destinato alle scuole (direzione, insegnanti e altro personale scolastico) per la realizzazione dell’impianto della scuola promotrice di salute. Esso costituisce una guida </w:t>
            </w:r>
            <w:proofErr w:type="spellStart"/>
            <w:r w:rsidRPr="0069156B">
              <w:rPr>
                <w:sz w:val="24"/>
              </w:rPr>
              <w:t>step-by-step</w:t>
            </w:r>
            <w:proofErr w:type="spellEnd"/>
            <w:r w:rsidRPr="0069156B">
              <w:rPr>
                <w:sz w:val="24"/>
              </w:rPr>
              <w:t xml:space="preserve"> organizzata in cinque fasi poste in un processo ciclico [</w:t>
            </w:r>
            <w:proofErr w:type="spellStart"/>
            <w:r w:rsidRPr="0069156B">
              <w:rPr>
                <w:sz w:val="24"/>
              </w:rPr>
              <w:t>Safarjan</w:t>
            </w:r>
            <w:proofErr w:type="spellEnd"/>
            <w:r w:rsidRPr="0069156B">
              <w:rPr>
                <w:sz w:val="24"/>
              </w:rPr>
              <w:t xml:space="preserve"> et al, 2013].</w:t>
            </w:r>
          </w:p>
          <w:p w:rsidR="0069156B" w:rsidRPr="0069156B" w:rsidRDefault="0069156B" w:rsidP="00142DCA">
            <w:pPr>
              <w:spacing w:before="60" w:after="60"/>
              <w:ind w:firstLine="142"/>
              <w:jc w:val="both"/>
              <w:rPr>
                <w:sz w:val="24"/>
              </w:rPr>
            </w:pPr>
            <w:r w:rsidRPr="0069156B">
              <w:rPr>
                <w:sz w:val="24"/>
              </w:rPr>
              <w:t>Sono stati istituiti sistemi di certificazione e riconoscimenti di “Scuola Promotrice di Salute”, da parte di istituzioni regionali e nazionali (ad esempio in Gran Bretagna, in Polonia [</w:t>
            </w:r>
            <w:proofErr w:type="spellStart"/>
            <w:r w:rsidRPr="0069156B">
              <w:rPr>
                <w:sz w:val="24"/>
              </w:rPr>
              <w:t>Rothwell</w:t>
            </w:r>
            <w:proofErr w:type="spellEnd"/>
            <w:r w:rsidRPr="0069156B">
              <w:rPr>
                <w:sz w:val="24"/>
              </w:rPr>
              <w:t xml:space="preserve"> et al, 2009; </w:t>
            </w:r>
            <w:proofErr w:type="spellStart"/>
            <w:r w:rsidRPr="0069156B">
              <w:rPr>
                <w:sz w:val="24"/>
              </w:rPr>
              <w:t>Woynarowska</w:t>
            </w:r>
            <w:proofErr w:type="spellEnd"/>
            <w:r w:rsidRPr="0069156B">
              <w:rPr>
                <w:sz w:val="24"/>
              </w:rPr>
              <w:t xml:space="preserve"> &amp; </w:t>
            </w:r>
            <w:proofErr w:type="spellStart"/>
            <w:r w:rsidRPr="0069156B">
              <w:rPr>
                <w:sz w:val="24"/>
              </w:rPr>
              <w:t>Sokolowska</w:t>
            </w:r>
            <w:proofErr w:type="spellEnd"/>
            <w:r w:rsidRPr="0069156B">
              <w:rPr>
                <w:sz w:val="24"/>
              </w:rPr>
              <w:t>, 2009]) che hanno offerto uno stimolo per le singole scuole.</w:t>
            </w:r>
          </w:p>
          <w:p w:rsidR="0069156B" w:rsidRPr="0069156B" w:rsidRDefault="0069156B" w:rsidP="00142DCA">
            <w:pPr>
              <w:spacing w:before="60" w:after="60"/>
              <w:ind w:firstLine="142"/>
              <w:jc w:val="both"/>
              <w:rPr>
                <w:sz w:val="24"/>
              </w:rPr>
            </w:pPr>
            <w:r w:rsidRPr="0069156B">
              <w:rPr>
                <w:sz w:val="24"/>
              </w:rPr>
              <w:t xml:space="preserve">A livello internazionale, sono stati costruiti indicatori, come lo School </w:t>
            </w:r>
            <w:proofErr w:type="spellStart"/>
            <w:r w:rsidRPr="0069156B">
              <w:rPr>
                <w:sz w:val="24"/>
              </w:rPr>
              <w:t>Health</w:t>
            </w:r>
            <w:proofErr w:type="spellEnd"/>
            <w:r w:rsidRPr="0069156B">
              <w:rPr>
                <w:sz w:val="24"/>
              </w:rPr>
              <w:t xml:space="preserve"> Index dei </w:t>
            </w:r>
            <w:proofErr w:type="spellStart"/>
            <w:r w:rsidRPr="0069156B">
              <w:rPr>
                <w:sz w:val="24"/>
              </w:rPr>
              <w:t>CDCs</w:t>
            </w:r>
            <w:proofErr w:type="spellEnd"/>
            <w:r w:rsidRPr="0069156B">
              <w:rPr>
                <w:sz w:val="24"/>
              </w:rPr>
              <w:t xml:space="preserve"> negli Stati Uniti che possono essere utilizzati anche per la pianificazione scolastica [</w:t>
            </w:r>
            <w:proofErr w:type="spellStart"/>
            <w:r w:rsidRPr="0069156B">
              <w:rPr>
                <w:sz w:val="24"/>
              </w:rPr>
              <w:t>CDCs</w:t>
            </w:r>
            <w:proofErr w:type="spellEnd"/>
            <w:r w:rsidRPr="0069156B">
              <w:rPr>
                <w:sz w:val="24"/>
              </w:rPr>
              <w:t xml:space="preserve">, 2005; </w:t>
            </w:r>
            <w:proofErr w:type="spellStart"/>
            <w:r w:rsidRPr="0069156B">
              <w:rPr>
                <w:sz w:val="24"/>
              </w:rPr>
              <w:t>St.Leger</w:t>
            </w:r>
            <w:proofErr w:type="spellEnd"/>
            <w:r w:rsidRPr="0069156B">
              <w:rPr>
                <w:sz w:val="24"/>
              </w:rPr>
              <w:t xml:space="preserve"> 2000] e che sono stati validati a livello regionale in Abruzzo [</w:t>
            </w:r>
            <w:proofErr w:type="spellStart"/>
            <w:r w:rsidRPr="0069156B">
              <w:rPr>
                <w:sz w:val="24"/>
              </w:rPr>
              <w:t>Scatigna</w:t>
            </w:r>
            <w:proofErr w:type="spellEnd"/>
            <w:r w:rsidRPr="0069156B">
              <w:rPr>
                <w:sz w:val="24"/>
              </w:rPr>
              <w:t xml:space="preserve"> et al, 2009].</w:t>
            </w:r>
          </w:p>
          <w:p w:rsidR="0069156B" w:rsidRPr="0069156B" w:rsidRDefault="0069156B" w:rsidP="00142DCA">
            <w:pPr>
              <w:spacing w:before="60" w:after="60"/>
              <w:ind w:firstLine="142"/>
              <w:jc w:val="both"/>
              <w:rPr>
                <w:sz w:val="24"/>
              </w:rPr>
            </w:pPr>
            <w:r w:rsidRPr="0069156B">
              <w:rPr>
                <w:sz w:val="24"/>
              </w:rPr>
              <w:t xml:space="preserve">Infine, il coinvolgimento attivo del personale scolastico e dei genitori in azioni di promozione della salute a loro rivolte potrebbe aumentare </w:t>
            </w:r>
            <w:proofErr w:type="spellStart"/>
            <w:r w:rsidRPr="0069156B">
              <w:rPr>
                <w:sz w:val="24"/>
              </w:rPr>
              <w:t>l’empowerment</w:t>
            </w:r>
            <w:proofErr w:type="spellEnd"/>
            <w:r w:rsidRPr="0069156B">
              <w:rPr>
                <w:sz w:val="24"/>
              </w:rPr>
              <w:t xml:space="preserve"> dei soggetti e la sostenibilità degli interventi nel tempo e in autonomia.</w:t>
            </w:r>
          </w:p>
          <w:p w:rsidR="0039237B" w:rsidRPr="0069156B" w:rsidRDefault="0039237B" w:rsidP="006E2488">
            <w:pPr>
              <w:pStyle w:val="Paragrafoelenco"/>
              <w:ind w:left="644"/>
              <w:rPr>
                <w:rFonts w:cstheme="minorHAnsi"/>
              </w:rPr>
            </w:pPr>
          </w:p>
        </w:tc>
      </w:tr>
      <w:tr w:rsidR="000449DC" w:rsidRPr="000449DC" w:rsidTr="000449DC">
        <w:tc>
          <w:tcPr>
            <w:tcW w:w="9778" w:type="dxa"/>
            <w:shd w:val="clear" w:color="auto" w:fill="D9D9D9" w:themeFill="background1" w:themeFillShade="D9"/>
          </w:tcPr>
          <w:p w:rsidR="000449DC" w:rsidRPr="0069156B" w:rsidRDefault="000449DC" w:rsidP="000449DC">
            <w:pPr>
              <w:rPr>
                <w:lang w:val="en-US"/>
              </w:rPr>
            </w:pPr>
            <w:r w:rsidRPr="0069156B">
              <w:rPr>
                <w:b/>
                <w:sz w:val="28"/>
                <w:szCs w:val="28"/>
              </w:rPr>
              <w:t>SISTEMA DI SORVEGLIANZA</w:t>
            </w:r>
            <w:r w:rsidRPr="0069156B">
              <w:rPr>
                <w:sz w:val="28"/>
                <w:szCs w:val="28"/>
              </w:rPr>
              <w:t xml:space="preserve"> : </w:t>
            </w:r>
          </w:p>
        </w:tc>
      </w:tr>
      <w:tr w:rsidR="000449DC" w:rsidRPr="000449DC" w:rsidTr="000449DC">
        <w:tc>
          <w:tcPr>
            <w:tcW w:w="9778" w:type="dxa"/>
          </w:tcPr>
          <w:p w:rsidR="0069156B" w:rsidRPr="0069156B" w:rsidRDefault="0069156B" w:rsidP="00142DCA">
            <w:pPr>
              <w:spacing w:before="60" w:after="60"/>
              <w:ind w:firstLine="142"/>
              <w:jc w:val="both"/>
              <w:rPr>
                <w:sz w:val="24"/>
              </w:rPr>
            </w:pPr>
            <w:r w:rsidRPr="0069156B">
              <w:rPr>
                <w:sz w:val="24"/>
              </w:rPr>
              <w:t xml:space="preserve">Al fine di verificare l’impatto dell’Azione sulla salute dei giovani e sulle caratteristiche del </w:t>
            </w:r>
            <w:proofErr w:type="spellStart"/>
            <w:r w:rsidRPr="0069156B">
              <w:rPr>
                <w:sz w:val="24"/>
              </w:rPr>
              <w:t>setting</w:t>
            </w:r>
            <w:proofErr w:type="spellEnd"/>
            <w:r w:rsidRPr="0069156B">
              <w:rPr>
                <w:sz w:val="24"/>
              </w:rPr>
              <w:t xml:space="preserve"> scolastico, potranno essere utilizzati sistemi di sorveglianza già presenti a livello nazionale/regionale riferiti all’età evolutiva, ovvero </w:t>
            </w:r>
            <w:proofErr w:type="spellStart"/>
            <w:r w:rsidRPr="0069156B">
              <w:rPr>
                <w:sz w:val="24"/>
              </w:rPr>
              <w:t>OKkio</w:t>
            </w:r>
            <w:proofErr w:type="spellEnd"/>
            <w:r w:rsidRPr="0069156B">
              <w:rPr>
                <w:sz w:val="24"/>
              </w:rPr>
              <w:t xml:space="preserve"> alla Salute e HBSC.</w:t>
            </w:r>
          </w:p>
          <w:p w:rsidR="0069156B" w:rsidRPr="0069156B" w:rsidRDefault="0069156B" w:rsidP="00142DCA">
            <w:pPr>
              <w:spacing w:before="60" w:after="60"/>
              <w:ind w:firstLine="142"/>
              <w:jc w:val="both"/>
              <w:rPr>
                <w:sz w:val="24"/>
              </w:rPr>
            </w:pPr>
            <w:r w:rsidRPr="0069156B">
              <w:rPr>
                <w:sz w:val="24"/>
              </w:rPr>
              <w:t xml:space="preserve">Tuttavia, nell’Azione stessa esiste un sistema intrinseco di sorveglianza/valutazione, che corrisponde a una delle attività progettuali, vale a dire la “Certificazione d’impegno” e l’ “Autovalutazione” attraverso indicatori metrici delle aree del modello </w:t>
            </w:r>
            <w:r w:rsidR="00142DCA">
              <w:rPr>
                <w:sz w:val="24"/>
              </w:rPr>
              <w:t>HPS</w:t>
            </w:r>
            <w:r w:rsidRPr="0069156B">
              <w:rPr>
                <w:sz w:val="24"/>
              </w:rPr>
              <w:t>.</w:t>
            </w:r>
          </w:p>
          <w:p w:rsidR="0039237B" w:rsidRPr="0069156B" w:rsidRDefault="0039237B" w:rsidP="0039237B">
            <w:pPr>
              <w:pStyle w:val="Paragrafoelenco"/>
              <w:ind w:left="644"/>
            </w:pPr>
          </w:p>
        </w:tc>
      </w:tr>
      <w:tr w:rsidR="006E2488" w:rsidRPr="000449DC" w:rsidTr="006E2488">
        <w:tc>
          <w:tcPr>
            <w:tcW w:w="9778" w:type="dxa"/>
            <w:shd w:val="clear" w:color="auto" w:fill="D9D9D9" w:themeFill="background1" w:themeFillShade="D9"/>
          </w:tcPr>
          <w:p w:rsidR="006E2488" w:rsidRPr="0069156B" w:rsidRDefault="006E2488" w:rsidP="006E2488">
            <w:pPr>
              <w:rPr>
                <w:sz w:val="24"/>
                <w:szCs w:val="24"/>
              </w:rPr>
            </w:pPr>
            <w:r w:rsidRPr="0069156B">
              <w:rPr>
                <w:b/>
                <w:sz w:val="28"/>
                <w:szCs w:val="28"/>
              </w:rPr>
              <w:t>CONTRASTO ALLE DISEGUAGLIANZE</w:t>
            </w:r>
          </w:p>
        </w:tc>
      </w:tr>
      <w:tr w:rsidR="006E2488" w:rsidRPr="000449DC" w:rsidTr="00E967B8">
        <w:trPr>
          <w:trHeight w:val="1545"/>
        </w:trPr>
        <w:tc>
          <w:tcPr>
            <w:tcW w:w="9778" w:type="dxa"/>
          </w:tcPr>
          <w:p w:rsidR="0069156B" w:rsidRPr="0069156B" w:rsidRDefault="0069156B" w:rsidP="00142DCA">
            <w:pPr>
              <w:spacing w:before="60" w:after="60"/>
              <w:ind w:firstLine="142"/>
              <w:jc w:val="both"/>
              <w:rPr>
                <w:sz w:val="24"/>
              </w:rPr>
            </w:pPr>
            <w:r w:rsidRPr="0069156B">
              <w:rPr>
                <w:sz w:val="24"/>
              </w:rPr>
              <w:t xml:space="preserve">L’Azione è intrinsecamente orientata al superamento e alla riduzione delle disuguaglianze, per i seguenti motivi: </w:t>
            </w:r>
          </w:p>
          <w:p w:rsidR="0069156B" w:rsidRPr="0069156B" w:rsidRDefault="0069156B" w:rsidP="00142DCA">
            <w:pPr>
              <w:pStyle w:val="Paragrafoelenco"/>
              <w:numPr>
                <w:ilvl w:val="0"/>
                <w:numId w:val="16"/>
              </w:numPr>
              <w:spacing w:before="60" w:after="60"/>
              <w:ind w:left="284" w:hanging="142"/>
            </w:pPr>
            <w:r w:rsidRPr="0069156B">
              <w:t xml:space="preserve">per la natura del </w:t>
            </w:r>
            <w:proofErr w:type="spellStart"/>
            <w:r w:rsidRPr="0069156B">
              <w:rPr>
                <w:i/>
              </w:rPr>
              <w:t>setting</w:t>
            </w:r>
            <w:proofErr w:type="spellEnd"/>
            <w:r w:rsidRPr="0069156B">
              <w:t>, la scuola, privilegiato per il fatto che, do</w:t>
            </w:r>
            <w:r w:rsidR="008C1C96">
              <w:t xml:space="preserve">po quello domestico, bambini e </w:t>
            </w:r>
            <w:r w:rsidRPr="0069156B">
              <w:t>adolescenti vi trascorrono universalmente la maggior parte della loro esistenza, indipendentemente dalle variabili determinanti di natura socio-economica riconducibili al nucleo familiare;</w:t>
            </w:r>
          </w:p>
          <w:p w:rsidR="0069156B" w:rsidRPr="0069156B" w:rsidRDefault="0069156B" w:rsidP="00142DCA">
            <w:pPr>
              <w:pStyle w:val="Paragrafoelenco"/>
              <w:numPr>
                <w:ilvl w:val="0"/>
                <w:numId w:val="16"/>
              </w:numPr>
              <w:spacing w:before="60" w:after="60"/>
              <w:ind w:left="284" w:hanging="142"/>
            </w:pPr>
            <w:r w:rsidRPr="0069156B">
              <w:t xml:space="preserve">perché l’obiettivo primario della </w:t>
            </w:r>
            <w:proofErr w:type="spellStart"/>
            <w:r w:rsidRPr="0069156B">
              <w:rPr>
                <w:i/>
              </w:rPr>
              <w:t>Health</w:t>
            </w:r>
            <w:proofErr w:type="spellEnd"/>
            <w:r w:rsidRPr="0069156B">
              <w:rPr>
                <w:i/>
              </w:rPr>
              <w:t xml:space="preserve"> </w:t>
            </w:r>
            <w:proofErr w:type="spellStart"/>
            <w:r w:rsidRPr="0069156B">
              <w:rPr>
                <w:i/>
              </w:rPr>
              <w:t>Promoting</w:t>
            </w:r>
            <w:proofErr w:type="spellEnd"/>
            <w:r w:rsidRPr="0069156B">
              <w:rPr>
                <w:i/>
              </w:rPr>
              <w:t xml:space="preserve"> School</w:t>
            </w:r>
            <w:r w:rsidRPr="0069156B">
              <w:t xml:space="preserve"> è proprio migliorare le opportunità e </w:t>
            </w:r>
            <w:r w:rsidR="008C1C96">
              <w:t xml:space="preserve">il </w:t>
            </w:r>
            <w:r w:rsidRPr="0069156B">
              <w:t xml:space="preserve">successo dell’apprendimento, a partire dall’accesso alla vita scolastica (es. abbattimento dell’abbandono) fino alla crescita culturale base essenziale per la salute dei singoli e delle comunità; </w:t>
            </w:r>
          </w:p>
          <w:p w:rsidR="00142DCA" w:rsidRDefault="0069156B" w:rsidP="00142DCA">
            <w:pPr>
              <w:pStyle w:val="Paragrafoelenco"/>
              <w:numPr>
                <w:ilvl w:val="0"/>
                <w:numId w:val="16"/>
              </w:numPr>
              <w:spacing w:before="60" w:after="60"/>
              <w:ind w:left="284" w:hanging="142"/>
            </w:pPr>
            <w:r w:rsidRPr="0069156B">
              <w:t xml:space="preserve">perché la HPS si basa sulla costruzione di un comunità scolastica in cui è considerata la salute di tutte le componenti (studenti, docenti, personale amministrativo, genitori) e dove viene auspicato il loro </w:t>
            </w:r>
            <w:r w:rsidRPr="0069156B">
              <w:lastRenderedPageBreak/>
              <w:t>contributo partecipato e fattivo, premessa perché si realizzi una migliore integrazione tra famiglie, con la comunità esterna e tra i giovani stessi;</w:t>
            </w:r>
          </w:p>
          <w:p w:rsidR="006E2488" w:rsidRPr="00142DCA" w:rsidRDefault="0069156B" w:rsidP="00142DCA">
            <w:pPr>
              <w:pStyle w:val="Paragrafoelenco"/>
              <w:numPr>
                <w:ilvl w:val="0"/>
                <w:numId w:val="16"/>
              </w:numPr>
              <w:spacing w:before="60" w:after="60"/>
              <w:ind w:left="284" w:hanging="142"/>
            </w:pPr>
            <w:r w:rsidRPr="0069156B">
              <w:t>perché le azioni specifiche riferite a temi di salute o ad aree di intervento puntuali, ‘naturalmente’ risulteranno accettabili e realizzabili in una scuola che aderisce al modello di HPS solo se orientate al superamento delle disuguaglianze</w:t>
            </w:r>
            <w:r w:rsidR="00142DCA">
              <w:t>.</w:t>
            </w:r>
          </w:p>
        </w:tc>
      </w:tr>
      <w:tr w:rsidR="000449DC" w:rsidRPr="000449DC" w:rsidTr="000449DC">
        <w:tc>
          <w:tcPr>
            <w:tcW w:w="9778" w:type="dxa"/>
            <w:shd w:val="clear" w:color="auto" w:fill="D9D9D9" w:themeFill="background1" w:themeFillShade="D9"/>
          </w:tcPr>
          <w:p w:rsidR="000449DC" w:rsidRPr="00394A5F" w:rsidRDefault="0069156B" w:rsidP="000449DC">
            <w:r w:rsidRPr="0069156B">
              <w:rPr>
                <w:b/>
                <w:sz w:val="28"/>
                <w:szCs w:val="28"/>
              </w:rPr>
              <w:lastRenderedPageBreak/>
              <w:t>OBIETTIVI SPECIFICI</w:t>
            </w:r>
            <w:r w:rsidR="00061A1C" w:rsidRPr="00061A1C">
              <w:rPr>
                <w:b/>
                <w:sz w:val="28"/>
                <w:szCs w:val="28"/>
              </w:rPr>
              <w:t xml:space="preserve"> e loro articolazione</w:t>
            </w:r>
          </w:p>
        </w:tc>
      </w:tr>
      <w:tr w:rsidR="000449DC" w:rsidRPr="000449DC" w:rsidTr="00061A1C">
        <w:trPr>
          <w:trHeight w:val="7297"/>
        </w:trPr>
        <w:tc>
          <w:tcPr>
            <w:tcW w:w="9778" w:type="dxa"/>
          </w:tcPr>
          <w:p w:rsidR="0043436D" w:rsidRPr="00061A1C" w:rsidRDefault="00061A1C" w:rsidP="0069156B">
            <w:pPr>
              <w:spacing w:before="120"/>
              <w:jc w:val="both"/>
              <w:rPr>
                <w:sz w:val="24"/>
              </w:rPr>
            </w:pPr>
            <w:r>
              <w:rPr>
                <w:b/>
                <w:sz w:val="24"/>
              </w:rPr>
              <w:t>AB.</w:t>
            </w:r>
            <w:r w:rsidR="00E51471">
              <w:rPr>
                <w:b/>
                <w:sz w:val="24"/>
              </w:rPr>
              <w:t>2.1</w:t>
            </w:r>
            <w:r w:rsidRPr="00061A1C">
              <w:rPr>
                <w:b/>
                <w:sz w:val="24"/>
              </w:rPr>
              <w:t xml:space="preserve"> </w:t>
            </w:r>
            <w:r w:rsidR="00E51471">
              <w:rPr>
                <w:b/>
                <w:sz w:val="24"/>
              </w:rPr>
              <w:t xml:space="preserve">- </w:t>
            </w:r>
            <w:r w:rsidRPr="00061A1C">
              <w:rPr>
                <w:sz w:val="24"/>
              </w:rPr>
              <w:t xml:space="preserve">Implementare l’approccio globale della </w:t>
            </w:r>
            <w:proofErr w:type="spellStart"/>
            <w:r w:rsidRPr="00061A1C">
              <w:rPr>
                <w:sz w:val="24"/>
              </w:rPr>
              <w:t>Health</w:t>
            </w:r>
            <w:proofErr w:type="spellEnd"/>
            <w:r w:rsidRPr="00061A1C">
              <w:rPr>
                <w:sz w:val="24"/>
              </w:rPr>
              <w:t xml:space="preserve"> </w:t>
            </w:r>
            <w:proofErr w:type="spellStart"/>
            <w:r w:rsidRPr="00061A1C">
              <w:rPr>
                <w:sz w:val="24"/>
              </w:rPr>
              <w:t>Promoting</w:t>
            </w:r>
            <w:proofErr w:type="spellEnd"/>
            <w:r w:rsidRPr="00061A1C">
              <w:rPr>
                <w:sz w:val="24"/>
              </w:rPr>
              <w:t xml:space="preserve"> School sulla base delle linee guida e delle esperienze internazionali</w:t>
            </w:r>
          </w:p>
          <w:p w:rsidR="0043436D" w:rsidRDefault="00061A1C" w:rsidP="0069156B">
            <w:pPr>
              <w:spacing w:before="120"/>
              <w:jc w:val="both"/>
              <w:rPr>
                <w:sz w:val="24"/>
              </w:rPr>
            </w:pPr>
            <w:r w:rsidRPr="00E51471">
              <w:rPr>
                <w:b/>
                <w:sz w:val="24"/>
              </w:rPr>
              <w:t>AB.</w:t>
            </w:r>
            <w:r w:rsidR="00E51471" w:rsidRPr="00E51471">
              <w:rPr>
                <w:b/>
                <w:sz w:val="24"/>
              </w:rPr>
              <w:t>2.</w:t>
            </w:r>
            <w:r w:rsidR="0043436D" w:rsidRPr="00E51471">
              <w:rPr>
                <w:b/>
                <w:sz w:val="24"/>
              </w:rPr>
              <w:t>2</w:t>
            </w:r>
            <w:r w:rsidRPr="00E51471">
              <w:rPr>
                <w:b/>
                <w:sz w:val="24"/>
              </w:rPr>
              <w:t xml:space="preserve"> </w:t>
            </w:r>
            <w:r w:rsidR="00E51471" w:rsidRPr="00E51471">
              <w:rPr>
                <w:b/>
                <w:sz w:val="24"/>
              </w:rPr>
              <w:t>-</w:t>
            </w:r>
            <w:r w:rsidR="00E51471">
              <w:rPr>
                <w:sz w:val="24"/>
              </w:rPr>
              <w:t xml:space="preserve"> </w:t>
            </w:r>
            <w:r w:rsidRPr="00061A1C">
              <w:rPr>
                <w:sz w:val="24"/>
              </w:rPr>
              <w:t xml:space="preserve">Creare la Rete Abruzzese delle Scuole Promotrici di Salute e connetterle al network Europeo </w:t>
            </w:r>
            <w:r w:rsidRPr="00061A1C">
              <w:rPr>
                <w:i/>
                <w:sz w:val="24"/>
              </w:rPr>
              <w:t xml:space="preserve">School for </w:t>
            </w:r>
            <w:proofErr w:type="spellStart"/>
            <w:r w:rsidRPr="00061A1C">
              <w:rPr>
                <w:i/>
                <w:sz w:val="24"/>
              </w:rPr>
              <w:t>Health</w:t>
            </w:r>
            <w:proofErr w:type="spellEnd"/>
            <w:r w:rsidRPr="00061A1C">
              <w:rPr>
                <w:i/>
                <w:sz w:val="24"/>
              </w:rPr>
              <w:t xml:space="preserve"> in Europe</w:t>
            </w:r>
          </w:p>
          <w:p w:rsidR="00061A1C" w:rsidRPr="00061A1C" w:rsidRDefault="00061A1C" w:rsidP="0069156B">
            <w:pPr>
              <w:spacing w:before="120"/>
              <w:jc w:val="both"/>
              <w:rPr>
                <w:sz w:val="24"/>
              </w:rPr>
            </w:pPr>
            <w:r>
              <w:rPr>
                <w:sz w:val="24"/>
              </w:rPr>
              <w:t>I precedenti due obiettivi specifici, possono essere articolati, in dettaglio nei seguenti obiettivi:</w:t>
            </w:r>
          </w:p>
          <w:p w:rsidR="0069156B" w:rsidRPr="00061A1C" w:rsidRDefault="00061A1C" w:rsidP="00061A1C">
            <w:pPr>
              <w:jc w:val="both"/>
            </w:pPr>
            <w:r w:rsidRPr="00061A1C">
              <w:t>Di</w:t>
            </w:r>
            <w:r w:rsidR="0069156B" w:rsidRPr="00061A1C">
              <w:t xml:space="preserve"> salute/educativi: </w:t>
            </w:r>
          </w:p>
          <w:p w:rsidR="0069156B" w:rsidRPr="00061A1C" w:rsidRDefault="0069156B" w:rsidP="00061A1C">
            <w:pPr>
              <w:pStyle w:val="Paragrafoelenco"/>
              <w:numPr>
                <w:ilvl w:val="0"/>
                <w:numId w:val="23"/>
              </w:numPr>
              <w:ind w:left="284" w:hanging="142"/>
              <w:contextualSpacing w:val="0"/>
            </w:pPr>
            <w:r w:rsidRPr="00061A1C">
              <w:t>Migliorare il benessere percepito degli studenti e del personale scolastico;</w:t>
            </w:r>
          </w:p>
          <w:p w:rsidR="0069156B" w:rsidRPr="00061A1C" w:rsidRDefault="0069156B" w:rsidP="00061A1C">
            <w:pPr>
              <w:pStyle w:val="Paragrafoelenco"/>
              <w:numPr>
                <w:ilvl w:val="0"/>
                <w:numId w:val="23"/>
              </w:numPr>
              <w:ind w:left="284" w:hanging="142"/>
              <w:contextualSpacing w:val="0"/>
            </w:pPr>
            <w:r w:rsidRPr="00061A1C">
              <w:t>Migliorare lo stile di vita associato all’esperienza scolastica;</w:t>
            </w:r>
          </w:p>
          <w:p w:rsidR="0069156B" w:rsidRPr="00061A1C" w:rsidRDefault="0069156B" w:rsidP="00061A1C">
            <w:pPr>
              <w:pStyle w:val="Paragrafoelenco"/>
              <w:numPr>
                <w:ilvl w:val="0"/>
                <w:numId w:val="23"/>
              </w:numPr>
              <w:ind w:left="284" w:hanging="142"/>
              <w:contextualSpacing w:val="0"/>
            </w:pPr>
            <w:r w:rsidRPr="00061A1C">
              <w:t>Migliorare il successo scolastico;</w:t>
            </w:r>
          </w:p>
          <w:p w:rsidR="0069156B" w:rsidRPr="00061A1C" w:rsidRDefault="0069156B" w:rsidP="00061A1C">
            <w:pPr>
              <w:pStyle w:val="Paragrafoelenco"/>
              <w:numPr>
                <w:ilvl w:val="0"/>
                <w:numId w:val="23"/>
              </w:numPr>
              <w:ind w:left="284" w:hanging="142"/>
              <w:contextualSpacing w:val="0"/>
            </w:pPr>
            <w:r w:rsidRPr="00061A1C">
              <w:t xml:space="preserve">Favorire la prevenzione primaria e secondaria del disagio </w:t>
            </w:r>
            <w:proofErr w:type="spellStart"/>
            <w:r w:rsidRPr="00061A1C">
              <w:t>psico</w:t>
            </w:r>
            <w:proofErr w:type="spellEnd"/>
            <w:r w:rsidRPr="00061A1C">
              <w:t>-sociale;</w:t>
            </w:r>
          </w:p>
          <w:p w:rsidR="0069156B" w:rsidRPr="00061A1C" w:rsidRDefault="0069156B" w:rsidP="00061A1C">
            <w:pPr>
              <w:pStyle w:val="Paragrafoelenco"/>
              <w:numPr>
                <w:ilvl w:val="0"/>
                <w:numId w:val="23"/>
              </w:numPr>
              <w:ind w:left="284" w:hanging="142"/>
              <w:contextualSpacing w:val="0"/>
            </w:pPr>
            <w:r w:rsidRPr="00061A1C">
              <w:t>Aumentare il livello di consapevolezza sul significato e il valore della salute, responsabilizzando i singoli e l’intera comunità scolastica.</w:t>
            </w:r>
          </w:p>
          <w:p w:rsidR="0069156B" w:rsidRPr="00061A1C" w:rsidRDefault="0069156B" w:rsidP="00061A1C">
            <w:pPr>
              <w:jc w:val="both"/>
            </w:pPr>
            <w:r w:rsidRPr="00061A1C">
              <w:t xml:space="preserve">Strategici: </w:t>
            </w:r>
          </w:p>
          <w:p w:rsidR="0069156B" w:rsidRPr="00061A1C" w:rsidRDefault="0069156B" w:rsidP="00061A1C">
            <w:pPr>
              <w:pStyle w:val="Paragrafoelenco"/>
              <w:numPr>
                <w:ilvl w:val="0"/>
                <w:numId w:val="23"/>
              </w:numPr>
              <w:ind w:left="284" w:hanging="142"/>
              <w:contextualSpacing w:val="0"/>
            </w:pPr>
            <w:r w:rsidRPr="00061A1C">
              <w:t xml:space="preserve">Creare una cultura condivisa della </w:t>
            </w:r>
            <w:proofErr w:type="spellStart"/>
            <w:r w:rsidRPr="00061A1C">
              <w:rPr>
                <w:i/>
              </w:rPr>
              <w:t>Health</w:t>
            </w:r>
            <w:proofErr w:type="spellEnd"/>
            <w:r w:rsidRPr="00061A1C">
              <w:rPr>
                <w:i/>
              </w:rPr>
              <w:t xml:space="preserve"> </w:t>
            </w:r>
            <w:proofErr w:type="spellStart"/>
            <w:r w:rsidRPr="00061A1C">
              <w:rPr>
                <w:i/>
              </w:rPr>
              <w:t>Promoting</w:t>
            </w:r>
            <w:proofErr w:type="spellEnd"/>
            <w:r w:rsidRPr="00061A1C">
              <w:rPr>
                <w:i/>
              </w:rPr>
              <w:t xml:space="preserve"> School</w:t>
            </w:r>
            <w:r w:rsidRPr="00061A1C">
              <w:t xml:space="preserve"> tra gli </w:t>
            </w:r>
            <w:proofErr w:type="spellStart"/>
            <w:r w:rsidRPr="00061A1C">
              <w:rPr>
                <w:i/>
              </w:rPr>
              <w:t>stakeholders</w:t>
            </w:r>
            <w:proofErr w:type="spellEnd"/>
            <w:r w:rsidRPr="00061A1C">
              <w:t xml:space="preserve"> dei diversi settori coinvolti (scuola, sanità, ricerca, amministrazione)</w:t>
            </w:r>
          </w:p>
          <w:p w:rsidR="0069156B" w:rsidRPr="00061A1C" w:rsidRDefault="0069156B" w:rsidP="00061A1C">
            <w:pPr>
              <w:pStyle w:val="Paragrafoelenco"/>
              <w:numPr>
                <w:ilvl w:val="0"/>
                <w:numId w:val="23"/>
              </w:numPr>
              <w:ind w:left="284" w:hanging="142"/>
              <w:contextualSpacing w:val="0"/>
            </w:pPr>
            <w:r w:rsidRPr="00061A1C">
              <w:t xml:space="preserve">Creare e/o rafforzare le collaborazioni intra-istituzionali (es. scuole che lavorano in rete, coordinamento dei servizi di prevenzione per l’offerta di programmi di prevenzione </w:t>
            </w:r>
            <w:proofErr w:type="spellStart"/>
            <w:r w:rsidRPr="00061A1C">
              <w:t>evidence</w:t>
            </w:r>
            <w:proofErr w:type="spellEnd"/>
            <w:r w:rsidRPr="00061A1C">
              <w:t xml:space="preserve"> </w:t>
            </w:r>
            <w:proofErr w:type="spellStart"/>
            <w:r w:rsidRPr="00061A1C">
              <w:t>based</w:t>
            </w:r>
            <w:proofErr w:type="spellEnd"/>
            <w:r w:rsidRPr="00061A1C">
              <w:t>, ecc.), inter-istituzionali (es. scuola – dipartimento di prevenzione, CONI) e comunitarie (es. scuola – associazioni del territorio, realtà produttive e servizi tecnologici) in grado di auto-mantenersi.</w:t>
            </w:r>
          </w:p>
          <w:p w:rsidR="0069156B" w:rsidRPr="00061A1C" w:rsidRDefault="0069156B" w:rsidP="00061A1C">
            <w:pPr>
              <w:jc w:val="both"/>
            </w:pPr>
            <w:r w:rsidRPr="00061A1C">
              <w:t xml:space="preserve">Tecnico-scientifici: </w:t>
            </w:r>
          </w:p>
          <w:p w:rsidR="00142DCA" w:rsidRPr="00061A1C" w:rsidRDefault="0069156B" w:rsidP="00061A1C">
            <w:pPr>
              <w:pStyle w:val="Paragrafoelenco"/>
              <w:numPr>
                <w:ilvl w:val="0"/>
                <w:numId w:val="23"/>
              </w:numPr>
              <w:ind w:left="284" w:hanging="142"/>
              <w:contextualSpacing w:val="0"/>
            </w:pPr>
            <w:r w:rsidRPr="00061A1C">
              <w:t>Diffondere l’utilizzo di un sistema di indicatori per la misura dell’orientamento alla promozione della salute a scuola (HPS) e la pianificazione di interventi.</w:t>
            </w:r>
          </w:p>
          <w:p w:rsidR="000449DC" w:rsidRPr="0069156B" w:rsidRDefault="0069156B" w:rsidP="00061A1C">
            <w:pPr>
              <w:pStyle w:val="Paragrafoelenco"/>
              <w:numPr>
                <w:ilvl w:val="0"/>
                <w:numId w:val="23"/>
              </w:numPr>
              <w:ind w:left="284" w:hanging="142"/>
              <w:contextualSpacing w:val="0"/>
            </w:pPr>
            <w:r w:rsidRPr="00061A1C">
              <w:t xml:space="preserve">Verificare i livelli di associazione degli indicatori di HPS con indicatori epidemiologici e misure psicometriche relative a </w:t>
            </w:r>
            <w:proofErr w:type="spellStart"/>
            <w:r w:rsidRPr="00061A1C">
              <w:t>predittori</w:t>
            </w:r>
            <w:proofErr w:type="spellEnd"/>
            <w:r w:rsidRPr="00061A1C">
              <w:t>, mediatori e moderatori di comportamenti salubri / insalubri sia individuali che ambientali</w:t>
            </w:r>
          </w:p>
        </w:tc>
      </w:tr>
      <w:tr w:rsidR="000449DC" w:rsidRPr="000449DC" w:rsidTr="000449DC">
        <w:tc>
          <w:tcPr>
            <w:tcW w:w="9778" w:type="dxa"/>
            <w:shd w:val="clear" w:color="auto" w:fill="D9D9D9" w:themeFill="background1" w:themeFillShade="D9"/>
          </w:tcPr>
          <w:p w:rsidR="000449DC" w:rsidRPr="0069156B" w:rsidRDefault="000449DC">
            <w:r w:rsidRPr="0069156B">
              <w:rPr>
                <w:b/>
                <w:sz w:val="28"/>
                <w:szCs w:val="28"/>
              </w:rPr>
              <w:t>TARGET</w:t>
            </w:r>
          </w:p>
        </w:tc>
      </w:tr>
      <w:tr w:rsidR="000449DC" w:rsidRPr="000449DC" w:rsidTr="000449DC">
        <w:tc>
          <w:tcPr>
            <w:tcW w:w="9778" w:type="dxa"/>
          </w:tcPr>
          <w:p w:rsidR="0069156B" w:rsidRPr="0069156B" w:rsidRDefault="0069156B" w:rsidP="00142DCA">
            <w:pPr>
              <w:spacing w:before="60" w:after="60"/>
              <w:ind w:firstLine="142"/>
              <w:jc w:val="both"/>
              <w:rPr>
                <w:sz w:val="24"/>
              </w:rPr>
            </w:pPr>
            <w:r w:rsidRPr="0069156B">
              <w:rPr>
                <w:sz w:val="24"/>
              </w:rPr>
              <w:t>Finale: Studenti delle Scuole di ogni ordine e grado che aderiranno</w:t>
            </w:r>
          </w:p>
          <w:p w:rsidR="009035FE" w:rsidRPr="0069156B" w:rsidRDefault="0069156B" w:rsidP="003B094A">
            <w:pPr>
              <w:spacing w:before="60" w:after="60"/>
              <w:ind w:firstLine="142"/>
              <w:jc w:val="both"/>
              <w:rPr>
                <w:rFonts w:cstheme="minorHAnsi"/>
              </w:rPr>
            </w:pPr>
            <w:r w:rsidRPr="0069156B">
              <w:rPr>
                <w:sz w:val="24"/>
              </w:rPr>
              <w:t>Intermedi: Insegnanti, altro personale scolastico, genitori, operatori sanitari.</w:t>
            </w:r>
          </w:p>
        </w:tc>
      </w:tr>
      <w:tr w:rsidR="000449DC" w:rsidRPr="000449DC" w:rsidTr="000449DC">
        <w:tc>
          <w:tcPr>
            <w:tcW w:w="9778" w:type="dxa"/>
            <w:shd w:val="clear" w:color="auto" w:fill="D9D9D9" w:themeFill="background1" w:themeFillShade="D9"/>
          </w:tcPr>
          <w:p w:rsidR="000449DC" w:rsidRPr="0069156B" w:rsidRDefault="000449DC">
            <w:pPr>
              <w:rPr>
                <w:rFonts w:cstheme="minorHAnsi"/>
              </w:rPr>
            </w:pPr>
            <w:r w:rsidRPr="0069156B">
              <w:rPr>
                <w:rFonts w:cstheme="minorHAnsi"/>
                <w:b/>
                <w:sz w:val="28"/>
                <w:szCs w:val="28"/>
              </w:rPr>
              <w:t>SETTING</w:t>
            </w:r>
          </w:p>
        </w:tc>
      </w:tr>
      <w:tr w:rsidR="000449DC" w:rsidRPr="000449DC" w:rsidTr="003B094A">
        <w:trPr>
          <w:trHeight w:val="364"/>
        </w:trPr>
        <w:tc>
          <w:tcPr>
            <w:tcW w:w="9778" w:type="dxa"/>
            <w:vAlign w:val="center"/>
          </w:tcPr>
          <w:p w:rsidR="000449DC" w:rsidRPr="0069156B" w:rsidRDefault="0069156B" w:rsidP="00142DCA">
            <w:pPr>
              <w:spacing w:before="60" w:after="60"/>
              <w:ind w:firstLine="142"/>
              <w:jc w:val="both"/>
            </w:pPr>
            <w:r w:rsidRPr="0069156B">
              <w:rPr>
                <w:sz w:val="24"/>
              </w:rPr>
              <w:t>Scuola</w:t>
            </w:r>
          </w:p>
        </w:tc>
      </w:tr>
      <w:tr w:rsidR="000449DC" w:rsidRPr="000449DC" w:rsidTr="000449DC">
        <w:tc>
          <w:tcPr>
            <w:tcW w:w="9778" w:type="dxa"/>
            <w:shd w:val="clear" w:color="auto" w:fill="D9D9D9" w:themeFill="background1" w:themeFillShade="D9"/>
          </w:tcPr>
          <w:p w:rsidR="000449DC" w:rsidRPr="0069156B" w:rsidRDefault="000449DC">
            <w:r w:rsidRPr="0069156B">
              <w:rPr>
                <w:b/>
                <w:sz w:val="28"/>
                <w:szCs w:val="28"/>
              </w:rPr>
              <w:t>INTERSETTORIALIT</w:t>
            </w:r>
            <w:r w:rsidR="008E644B">
              <w:rPr>
                <w:b/>
                <w:sz w:val="28"/>
                <w:szCs w:val="28"/>
              </w:rPr>
              <w:t>À</w:t>
            </w:r>
          </w:p>
        </w:tc>
      </w:tr>
      <w:tr w:rsidR="000449DC" w:rsidRPr="000449DC" w:rsidTr="000449DC">
        <w:tc>
          <w:tcPr>
            <w:tcW w:w="9778" w:type="dxa"/>
          </w:tcPr>
          <w:p w:rsidR="0069156B" w:rsidRPr="0069156B" w:rsidRDefault="0069156B" w:rsidP="00142DCA">
            <w:pPr>
              <w:spacing w:before="60" w:after="60"/>
              <w:ind w:firstLine="142"/>
              <w:jc w:val="both"/>
              <w:rPr>
                <w:sz w:val="24"/>
              </w:rPr>
            </w:pPr>
            <w:r w:rsidRPr="0069156B">
              <w:rPr>
                <w:sz w:val="24"/>
              </w:rPr>
              <w:t>L’</w:t>
            </w:r>
            <w:proofErr w:type="spellStart"/>
            <w:r w:rsidRPr="0069156B">
              <w:rPr>
                <w:sz w:val="24"/>
              </w:rPr>
              <w:t>intersettorialità</w:t>
            </w:r>
            <w:proofErr w:type="spellEnd"/>
            <w:r w:rsidRPr="0069156B">
              <w:rPr>
                <w:sz w:val="24"/>
              </w:rPr>
              <w:t xml:space="preserve"> è connaturata al concetto di Rete ASPS e al modello HPS. Essa sarà realizzabile nella misura in cui il settore della scuola, della sanità, della formazione superiore e ricerca scientifica sapranno realizzare una collaborazione concreta, paritaria e virtuosa.</w:t>
            </w:r>
          </w:p>
          <w:p w:rsidR="00E967B8" w:rsidRPr="00E967B8" w:rsidRDefault="0069156B" w:rsidP="003B094A">
            <w:pPr>
              <w:spacing w:before="60" w:after="60"/>
              <w:ind w:firstLine="142"/>
              <w:jc w:val="both"/>
              <w:rPr>
                <w:b/>
                <w:szCs w:val="28"/>
              </w:rPr>
            </w:pPr>
            <w:r w:rsidRPr="0069156B">
              <w:rPr>
                <w:sz w:val="24"/>
              </w:rPr>
              <w:t>La rilevanza del problema della collaborazione intersettoriale, quale nodo cruciale della HPS, è sottolineato dalla recente pubblicazione di un documento-guida dell’IUHPE orientato a esaminare i vincoli e le soluzioni [IUPHE, 2013]</w:t>
            </w:r>
          </w:p>
          <w:p w:rsidR="00E967B8" w:rsidRPr="0069156B" w:rsidRDefault="00E967B8" w:rsidP="00E967B8">
            <w:pPr>
              <w:spacing w:after="120"/>
              <w:jc w:val="both"/>
              <w:rPr>
                <w:b/>
                <w:sz w:val="28"/>
                <w:szCs w:val="28"/>
              </w:rPr>
            </w:pPr>
          </w:p>
        </w:tc>
      </w:tr>
      <w:tr w:rsidR="000449DC" w:rsidRPr="000449DC" w:rsidTr="000449DC">
        <w:tc>
          <w:tcPr>
            <w:tcW w:w="9778" w:type="dxa"/>
            <w:shd w:val="clear" w:color="auto" w:fill="D9D9D9" w:themeFill="background1" w:themeFillShade="D9"/>
          </w:tcPr>
          <w:p w:rsidR="000449DC" w:rsidRPr="0069156B" w:rsidRDefault="000449DC" w:rsidP="00D1652F">
            <w:pPr>
              <w:rPr>
                <w:b/>
                <w:sz w:val="28"/>
                <w:szCs w:val="28"/>
              </w:rPr>
            </w:pPr>
            <w:r w:rsidRPr="0069156B">
              <w:rPr>
                <w:b/>
                <w:sz w:val="28"/>
                <w:szCs w:val="28"/>
              </w:rPr>
              <w:lastRenderedPageBreak/>
              <w:t xml:space="preserve">INDICATORI </w:t>
            </w:r>
          </w:p>
        </w:tc>
      </w:tr>
      <w:tr w:rsidR="000449DC" w:rsidRPr="000449DC" w:rsidTr="003B094A">
        <w:trPr>
          <w:trHeight w:val="5307"/>
        </w:trPr>
        <w:tc>
          <w:tcPr>
            <w:tcW w:w="9778" w:type="dxa"/>
          </w:tcPr>
          <w:p w:rsidR="00CF4934" w:rsidRPr="0069156B" w:rsidRDefault="00CF4934" w:rsidP="00142DCA">
            <w:pPr>
              <w:spacing w:before="60" w:after="60"/>
              <w:ind w:firstLine="142"/>
              <w:jc w:val="both"/>
              <w:rPr>
                <w:b/>
                <w:sz w:val="28"/>
                <w:szCs w:val="28"/>
              </w:rPr>
            </w:pPr>
          </w:p>
          <w:p w:rsidR="0069156B" w:rsidRPr="0069156B" w:rsidRDefault="0069156B" w:rsidP="00142DCA">
            <w:pPr>
              <w:spacing w:before="60" w:after="60"/>
              <w:ind w:firstLine="142"/>
              <w:jc w:val="both"/>
              <w:rPr>
                <w:sz w:val="24"/>
              </w:rPr>
            </w:pPr>
            <w:r w:rsidRPr="0069156B">
              <w:rPr>
                <w:sz w:val="24"/>
              </w:rPr>
              <w:t>Indicatori di Processo (Fonte Regione Abruzzo)</w:t>
            </w:r>
          </w:p>
          <w:tbl>
            <w:tblPr>
              <w:tblStyle w:val="Grigliatabella"/>
              <w:tblW w:w="0" w:type="auto"/>
              <w:tblLook w:val="04A0" w:firstRow="1" w:lastRow="0" w:firstColumn="1" w:lastColumn="0" w:noHBand="0" w:noVBand="1"/>
            </w:tblPr>
            <w:tblGrid>
              <w:gridCol w:w="3153"/>
              <w:gridCol w:w="1605"/>
              <w:gridCol w:w="1598"/>
              <w:gridCol w:w="1598"/>
              <w:gridCol w:w="1598"/>
            </w:tblGrid>
            <w:tr w:rsidR="0069156B" w:rsidRPr="0069156B" w:rsidTr="00920255">
              <w:trPr>
                <w:trHeight w:val="625"/>
              </w:trPr>
              <w:tc>
                <w:tcPr>
                  <w:tcW w:w="3227" w:type="dxa"/>
                  <w:vAlign w:val="center"/>
                </w:tcPr>
                <w:p w:rsidR="0069156B" w:rsidRPr="0069156B" w:rsidRDefault="0069156B" w:rsidP="00920255">
                  <w:pPr>
                    <w:jc w:val="center"/>
                    <w:rPr>
                      <w:b/>
                    </w:rPr>
                  </w:pPr>
                  <w:r w:rsidRPr="0069156B">
                    <w:rPr>
                      <w:b/>
                    </w:rPr>
                    <w:t>Fonte:</w:t>
                  </w:r>
                </w:p>
                <w:p w:rsidR="0069156B" w:rsidRPr="0069156B" w:rsidRDefault="0069156B" w:rsidP="00920255">
                  <w:pPr>
                    <w:jc w:val="center"/>
                    <w:rPr>
                      <w:b/>
                    </w:rPr>
                  </w:pPr>
                  <w:r w:rsidRPr="0069156B">
                    <w:rPr>
                      <w:b/>
                    </w:rPr>
                    <w:t>Registri di Attività</w:t>
                  </w:r>
                </w:p>
              </w:tc>
              <w:tc>
                <w:tcPr>
                  <w:tcW w:w="1630" w:type="dxa"/>
                  <w:vAlign w:val="center"/>
                </w:tcPr>
                <w:p w:rsidR="0069156B" w:rsidRPr="0069156B" w:rsidRDefault="0069156B" w:rsidP="00920255">
                  <w:pPr>
                    <w:jc w:val="center"/>
                    <w:rPr>
                      <w:b/>
                    </w:rPr>
                  </w:pPr>
                  <w:r w:rsidRPr="0069156B">
                    <w:rPr>
                      <w:b/>
                    </w:rPr>
                    <w:t>Baseline</w:t>
                  </w:r>
                </w:p>
              </w:tc>
              <w:tc>
                <w:tcPr>
                  <w:tcW w:w="1630" w:type="dxa"/>
                  <w:vAlign w:val="center"/>
                </w:tcPr>
                <w:p w:rsidR="0069156B" w:rsidRPr="0069156B" w:rsidRDefault="0069156B" w:rsidP="00920255">
                  <w:pPr>
                    <w:jc w:val="center"/>
                    <w:rPr>
                      <w:b/>
                    </w:rPr>
                  </w:pPr>
                  <w:r w:rsidRPr="0069156B">
                    <w:rPr>
                      <w:b/>
                    </w:rPr>
                    <w:t>Valore atteso 2016</w:t>
                  </w:r>
                </w:p>
              </w:tc>
              <w:tc>
                <w:tcPr>
                  <w:tcW w:w="1630" w:type="dxa"/>
                  <w:vAlign w:val="center"/>
                </w:tcPr>
                <w:p w:rsidR="0069156B" w:rsidRPr="0069156B" w:rsidRDefault="0069156B" w:rsidP="00920255">
                  <w:pPr>
                    <w:jc w:val="center"/>
                    <w:rPr>
                      <w:b/>
                    </w:rPr>
                  </w:pPr>
                  <w:r w:rsidRPr="0069156B">
                    <w:rPr>
                      <w:b/>
                    </w:rPr>
                    <w:t>Valore atteso 2017</w:t>
                  </w:r>
                </w:p>
              </w:tc>
              <w:tc>
                <w:tcPr>
                  <w:tcW w:w="1630" w:type="dxa"/>
                  <w:vAlign w:val="center"/>
                </w:tcPr>
                <w:p w:rsidR="0069156B" w:rsidRPr="0069156B" w:rsidRDefault="0069156B" w:rsidP="00920255">
                  <w:pPr>
                    <w:jc w:val="center"/>
                    <w:rPr>
                      <w:b/>
                    </w:rPr>
                  </w:pPr>
                  <w:r w:rsidRPr="0069156B">
                    <w:rPr>
                      <w:b/>
                    </w:rPr>
                    <w:t>Valore atteso 2018</w:t>
                  </w:r>
                </w:p>
              </w:tc>
            </w:tr>
            <w:tr w:rsidR="0069156B" w:rsidRPr="0069156B" w:rsidTr="00920255">
              <w:trPr>
                <w:trHeight w:val="833"/>
              </w:trPr>
              <w:tc>
                <w:tcPr>
                  <w:tcW w:w="3227" w:type="dxa"/>
                  <w:vAlign w:val="center"/>
                </w:tcPr>
                <w:p w:rsidR="0069156B" w:rsidRPr="0069156B" w:rsidRDefault="0069156B" w:rsidP="00920255">
                  <w:r w:rsidRPr="0069156B">
                    <w:t>Proporzione di Istituti Scolastici Regionali che aderiscono alla Rete ASPS</w:t>
                  </w:r>
                </w:p>
              </w:tc>
              <w:tc>
                <w:tcPr>
                  <w:tcW w:w="1630" w:type="dxa"/>
                  <w:vAlign w:val="center"/>
                </w:tcPr>
                <w:p w:rsidR="0069156B" w:rsidRPr="0069156B" w:rsidRDefault="0069156B" w:rsidP="00920255">
                  <w:pPr>
                    <w:jc w:val="center"/>
                  </w:pPr>
                  <w:r w:rsidRPr="0069156B">
                    <w:t>0 %</w:t>
                  </w:r>
                </w:p>
              </w:tc>
              <w:tc>
                <w:tcPr>
                  <w:tcW w:w="1630" w:type="dxa"/>
                  <w:vAlign w:val="center"/>
                </w:tcPr>
                <w:p w:rsidR="0069156B" w:rsidRPr="0069156B" w:rsidRDefault="008451E4" w:rsidP="00303906">
                  <w:pPr>
                    <w:jc w:val="center"/>
                  </w:pPr>
                  <w:r>
                    <w:t>5</w:t>
                  </w:r>
                  <w:r w:rsidR="0069156B" w:rsidRPr="0069156B">
                    <w:t xml:space="preserve"> %</w:t>
                  </w:r>
                </w:p>
              </w:tc>
              <w:tc>
                <w:tcPr>
                  <w:tcW w:w="1630" w:type="dxa"/>
                  <w:vAlign w:val="center"/>
                </w:tcPr>
                <w:p w:rsidR="0069156B" w:rsidRPr="0069156B" w:rsidRDefault="00303906" w:rsidP="008451E4">
                  <w:pPr>
                    <w:jc w:val="center"/>
                  </w:pPr>
                  <w:r>
                    <w:t>1</w:t>
                  </w:r>
                  <w:r w:rsidR="008451E4">
                    <w:t>0</w:t>
                  </w:r>
                  <w:r w:rsidR="0069156B" w:rsidRPr="0069156B">
                    <w:t xml:space="preserve"> %</w:t>
                  </w:r>
                </w:p>
              </w:tc>
              <w:tc>
                <w:tcPr>
                  <w:tcW w:w="1630" w:type="dxa"/>
                  <w:vAlign w:val="center"/>
                </w:tcPr>
                <w:p w:rsidR="0069156B" w:rsidRPr="0069156B" w:rsidRDefault="008451E4" w:rsidP="00303906">
                  <w:pPr>
                    <w:jc w:val="center"/>
                  </w:pPr>
                  <w:r>
                    <w:t>15</w:t>
                  </w:r>
                  <w:r w:rsidR="0069156B" w:rsidRPr="0069156B">
                    <w:t xml:space="preserve"> %</w:t>
                  </w:r>
                </w:p>
              </w:tc>
            </w:tr>
          </w:tbl>
          <w:p w:rsidR="0069156B" w:rsidRPr="0069156B" w:rsidRDefault="0069156B" w:rsidP="004359DD">
            <w:pPr>
              <w:ind w:firstLine="142"/>
              <w:jc w:val="both"/>
              <w:rPr>
                <w:b/>
                <w:sz w:val="28"/>
                <w:szCs w:val="28"/>
              </w:rPr>
            </w:pPr>
          </w:p>
          <w:p w:rsidR="0069156B" w:rsidRPr="0069156B" w:rsidRDefault="0069156B" w:rsidP="004359DD">
            <w:pPr>
              <w:ind w:firstLine="142"/>
              <w:jc w:val="both"/>
              <w:rPr>
                <w:sz w:val="24"/>
              </w:rPr>
            </w:pPr>
            <w:r w:rsidRPr="0069156B">
              <w:rPr>
                <w:sz w:val="24"/>
              </w:rPr>
              <w:t>Indicatori di Esito (Fonte Regione Abruzzo)</w:t>
            </w:r>
          </w:p>
          <w:tbl>
            <w:tblPr>
              <w:tblStyle w:val="Grigliatabella"/>
              <w:tblW w:w="0" w:type="auto"/>
              <w:tblLook w:val="04A0" w:firstRow="1" w:lastRow="0" w:firstColumn="1" w:lastColumn="0" w:noHBand="0" w:noVBand="1"/>
            </w:tblPr>
            <w:tblGrid>
              <w:gridCol w:w="3164"/>
              <w:gridCol w:w="1603"/>
              <w:gridCol w:w="1595"/>
              <w:gridCol w:w="1595"/>
              <w:gridCol w:w="1595"/>
            </w:tblGrid>
            <w:tr w:rsidR="0069156B" w:rsidRPr="0069156B" w:rsidTr="0069156B">
              <w:trPr>
                <w:trHeight w:val="969"/>
              </w:trPr>
              <w:tc>
                <w:tcPr>
                  <w:tcW w:w="3164" w:type="dxa"/>
                  <w:vAlign w:val="center"/>
                </w:tcPr>
                <w:p w:rsidR="0069156B" w:rsidRPr="0069156B" w:rsidRDefault="0069156B" w:rsidP="00920255">
                  <w:pPr>
                    <w:jc w:val="center"/>
                    <w:rPr>
                      <w:b/>
                    </w:rPr>
                  </w:pPr>
                  <w:r w:rsidRPr="0069156B">
                    <w:rPr>
                      <w:b/>
                    </w:rPr>
                    <w:t>Fonte:</w:t>
                  </w:r>
                </w:p>
                <w:p w:rsidR="0069156B" w:rsidRPr="0069156B" w:rsidRDefault="0069156B" w:rsidP="00920255">
                  <w:pPr>
                    <w:jc w:val="center"/>
                    <w:rPr>
                      <w:b/>
                    </w:rPr>
                  </w:pPr>
                  <w:r w:rsidRPr="0069156B">
                    <w:rPr>
                      <w:b/>
                    </w:rPr>
                    <w:t>Sistema di Autovalutazione per le Scuole Promotrici di Salute</w:t>
                  </w:r>
                </w:p>
              </w:tc>
              <w:tc>
                <w:tcPr>
                  <w:tcW w:w="1603" w:type="dxa"/>
                  <w:vAlign w:val="center"/>
                </w:tcPr>
                <w:p w:rsidR="0069156B" w:rsidRPr="0069156B" w:rsidRDefault="0069156B" w:rsidP="00920255">
                  <w:pPr>
                    <w:jc w:val="center"/>
                    <w:rPr>
                      <w:b/>
                    </w:rPr>
                  </w:pPr>
                  <w:r w:rsidRPr="0069156B">
                    <w:rPr>
                      <w:b/>
                    </w:rPr>
                    <w:t>Baseline</w:t>
                  </w:r>
                </w:p>
              </w:tc>
              <w:tc>
                <w:tcPr>
                  <w:tcW w:w="1595" w:type="dxa"/>
                  <w:vAlign w:val="center"/>
                </w:tcPr>
                <w:p w:rsidR="0069156B" w:rsidRPr="0069156B" w:rsidRDefault="0069156B" w:rsidP="00920255">
                  <w:pPr>
                    <w:jc w:val="center"/>
                    <w:rPr>
                      <w:b/>
                    </w:rPr>
                  </w:pPr>
                  <w:r w:rsidRPr="0069156B">
                    <w:rPr>
                      <w:b/>
                    </w:rPr>
                    <w:t>Valore atteso 2016</w:t>
                  </w:r>
                </w:p>
              </w:tc>
              <w:tc>
                <w:tcPr>
                  <w:tcW w:w="1595" w:type="dxa"/>
                  <w:vAlign w:val="center"/>
                </w:tcPr>
                <w:p w:rsidR="0069156B" w:rsidRPr="0069156B" w:rsidRDefault="0069156B" w:rsidP="00920255">
                  <w:pPr>
                    <w:jc w:val="center"/>
                    <w:rPr>
                      <w:b/>
                    </w:rPr>
                  </w:pPr>
                  <w:r w:rsidRPr="0069156B">
                    <w:rPr>
                      <w:b/>
                    </w:rPr>
                    <w:t>Valore atteso 2017</w:t>
                  </w:r>
                </w:p>
              </w:tc>
              <w:tc>
                <w:tcPr>
                  <w:tcW w:w="1595" w:type="dxa"/>
                  <w:vAlign w:val="center"/>
                </w:tcPr>
                <w:p w:rsidR="0069156B" w:rsidRPr="0069156B" w:rsidRDefault="0069156B" w:rsidP="00920255">
                  <w:pPr>
                    <w:jc w:val="center"/>
                    <w:rPr>
                      <w:b/>
                    </w:rPr>
                  </w:pPr>
                  <w:r w:rsidRPr="0069156B">
                    <w:rPr>
                      <w:b/>
                    </w:rPr>
                    <w:t>Valore atteso 2018</w:t>
                  </w:r>
                </w:p>
              </w:tc>
            </w:tr>
            <w:tr w:rsidR="0069156B" w:rsidRPr="0069156B" w:rsidTr="0069156B">
              <w:trPr>
                <w:trHeight w:val="1124"/>
              </w:trPr>
              <w:tc>
                <w:tcPr>
                  <w:tcW w:w="3164" w:type="dxa"/>
                  <w:vAlign w:val="center"/>
                </w:tcPr>
                <w:p w:rsidR="0069156B" w:rsidRPr="0069156B" w:rsidRDefault="0069156B" w:rsidP="00920255">
                  <w:r w:rsidRPr="0069156B">
                    <w:t>Proporzione di Istituti Scolastici della Rete ASPS che migliorano nel livello metrico relativo a tre o più aree monitorate</w:t>
                  </w:r>
                </w:p>
              </w:tc>
              <w:tc>
                <w:tcPr>
                  <w:tcW w:w="1603" w:type="dxa"/>
                  <w:vAlign w:val="center"/>
                </w:tcPr>
                <w:p w:rsidR="0069156B" w:rsidRPr="0069156B" w:rsidRDefault="0069156B" w:rsidP="00920255">
                  <w:pPr>
                    <w:jc w:val="center"/>
                  </w:pPr>
                  <w:r w:rsidRPr="0069156B">
                    <w:t>0 %</w:t>
                  </w:r>
                </w:p>
              </w:tc>
              <w:tc>
                <w:tcPr>
                  <w:tcW w:w="1595" w:type="dxa"/>
                  <w:vAlign w:val="center"/>
                </w:tcPr>
                <w:p w:rsidR="0069156B" w:rsidRPr="0069156B" w:rsidRDefault="0069156B" w:rsidP="00920255">
                  <w:pPr>
                    <w:jc w:val="center"/>
                  </w:pPr>
                  <w:r w:rsidRPr="0069156B">
                    <w:t>25 %</w:t>
                  </w:r>
                </w:p>
              </w:tc>
              <w:tc>
                <w:tcPr>
                  <w:tcW w:w="1595" w:type="dxa"/>
                  <w:vAlign w:val="center"/>
                </w:tcPr>
                <w:p w:rsidR="0069156B" w:rsidRPr="0069156B" w:rsidRDefault="0069156B" w:rsidP="00920255">
                  <w:pPr>
                    <w:jc w:val="center"/>
                  </w:pPr>
                  <w:r w:rsidRPr="0069156B">
                    <w:t>30 %</w:t>
                  </w:r>
                </w:p>
              </w:tc>
              <w:tc>
                <w:tcPr>
                  <w:tcW w:w="1595" w:type="dxa"/>
                  <w:vAlign w:val="center"/>
                </w:tcPr>
                <w:p w:rsidR="0069156B" w:rsidRPr="0069156B" w:rsidRDefault="0069156B" w:rsidP="00920255">
                  <w:pPr>
                    <w:jc w:val="center"/>
                  </w:pPr>
                  <w:r w:rsidRPr="0069156B">
                    <w:t>50 %</w:t>
                  </w:r>
                </w:p>
              </w:tc>
            </w:tr>
          </w:tbl>
          <w:p w:rsidR="0069156B" w:rsidRPr="0069156B" w:rsidRDefault="0069156B" w:rsidP="006E2488">
            <w:pPr>
              <w:ind w:left="720"/>
              <w:jc w:val="both"/>
              <w:rPr>
                <w:b/>
                <w:sz w:val="28"/>
                <w:szCs w:val="28"/>
              </w:rPr>
            </w:pPr>
          </w:p>
        </w:tc>
      </w:tr>
      <w:tr w:rsidR="000449DC" w:rsidRPr="000449DC" w:rsidTr="000449DC">
        <w:tc>
          <w:tcPr>
            <w:tcW w:w="9778" w:type="dxa"/>
            <w:shd w:val="clear" w:color="auto" w:fill="D9D9D9" w:themeFill="background1" w:themeFillShade="D9"/>
          </w:tcPr>
          <w:p w:rsidR="000449DC" w:rsidRPr="0069156B" w:rsidRDefault="000449DC">
            <w:pPr>
              <w:rPr>
                <w:b/>
                <w:sz w:val="28"/>
                <w:szCs w:val="28"/>
              </w:rPr>
            </w:pPr>
            <w:r w:rsidRPr="0069156B">
              <w:rPr>
                <w:b/>
                <w:sz w:val="28"/>
                <w:szCs w:val="28"/>
              </w:rPr>
              <w:t>ATTIVIT</w:t>
            </w:r>
            <w:r w:rsidR="008E644B">
              <w:rPr>
                <w:b/>
                <w:sz w:val="28"/>
                <w:szCs w:val="28"/>
              </w:rPr>
              <w:t>À</w:t>
            </w:r>
          </w:p>
        </w:tc>
      </w:tr>
      <w:tr w:rsidR="000449DC" w:rsidRPr="000449DC" w:rsidTr="000449DC">
        <w:tc>
          <w:tcPr>
            <w:tcW w:w="9778" w:type="dxa"/>
          </w:tcPr>
          <w:p w:rsidR="0069156B" w:rsidRPr="00303906" w:rsidRDefault="0069156B" w:rsidP="00142DCA">
            <w:pPr>
              <w:spacing w:before="60" w:after="60"/>
              <w:ind w:firstLine="142"/>
              <w:jc w:val="both"/>
              <w:rPr>
                <w:b/>
              </w:rPr>
            </w:pPr>
            <w:r w:rsidRPr="00303906">
              <w:rPr>
                <w:b/>
                <w:sz w:val="24"/>
              </w:rPr>
              <w:t>Azioni</w:t>
            </w:r>
            <w:r w:rsidRPr="00303906">
              <w:rPr>
                <w:b/>
              </w:rPr>
              <w:t xml:space="preserve"> Generali</w:t>
            </w:r>
          </w:p>
          <w:p w:rsidR="0069156B" w:rsidRPr="0069156B" w:rsidRDefault="0069156B" w:rsidP="00303906">
            <w:pPr>
              <w:pStyle w:val="Paragrafoelenco"/>
              <w:numPr>
                <w:ilvl w:val="0"/>
                <w:numId w:val="16"/>
              </w:numPr>
              <w:spacing w:before="60" w:after="60"/>
              <w:ind w:left="426" w:hanging="284"/>
            </w:pPr>
            <w:r w:rsidRPr="0069156B">
              <w:t>Istituzione dell’Osservatorio Regionale Abruzzese per la Scuola Promotrice di Salute (ORASPS);</w:t>
            </w:r>
          </w:p>
          <w:p w:rsidR="0069156B" w:rsidRPr="0069156B" w:rsidRDefault="0069156B" w:rsidP="00303906">
            <w:pPr>
              <w:pStyle w:val="Paragrafoelenco"/>
              <w:numPr>
                <w:ilvl w:val="0"/>
                <w:numId w:val="16"/>
              </w:numPr>
              <w:spacing w:before="60" w:after="60"/>
              <w:ind w:left="426" w:hanging="284"/>
            </w:pPr>
            <w:r w:rsidRPr="0069156B">
              <w:t>Produzione dei materiali per la realizzazione della Rete ASPS (Marchio-logotipo, Sito-web, schede per l’adesione e per il monitoraggio, sistemi informatizzati per l’archiviazione dei dati);</w:t>
            </w:r>
          </w:p>
          <w:p w:rsidR="0069156B" w:rsidRPr="0069156B" w:rsidRDefault="0069156B" w:rsidP="00303906">
            <w:pPr>
              <w:pStyle w:val="Paragrafoelenco"/>
              <w:numPr>
                <w:ilvl w:val="0"/>
                <w:numId w:val="16"/>
              </w:numPr>
              <w:spacing w:before="60" w:after="60"/>
              <w:ind w:left="426" w:hanging="284"/>
            </w:pPr>
            <w:r w:rsidRPr="0069156B">
              <w:t>Conferenze di Servizio, formazione dei dirigenti scolastici e operatori sanitari.</w:t>
            </w:r>
          </w:p>
          <w:p w:rsidR="0069156B" w:rsidRPr="00303906" w:rsidRDefault="0069156B" w:rsidP="00303906">
            <w:pPr>
              <w:spacing w:before="60" w:after="60"/>
              <w:ind w:firstLine="142"/>
              <w:jc w:val="both"/>
              <w:rPr>
                <w:b/>
                <w:sz w:val="24"/>
              </w:rPr>
            </w:pPr>
            <w:r w:rsidRPr="00303906">
              <w:rPr>
                <w:b/>
                <w:sz w:val="24"/>
              </w:rPr>
              <w:t>Azioni Specifiche</w:t>
            </w:r>
          </w:p>
          <w:p w:rsidR="0069156B" w:rsidRPr="0069156B" w:rsidRDefault="0069156B" w:rsidP="00303906">
            <w:pPr>
              <w:pStyle w:val="Paragrafoelenco"/>
              <w:numPr>
                <w:ilvl w:val="0"/>
                <w:numId w:val="16"/>
              </w:numPr>
              <w:spacing w:before="60" w:after="60"/>
              <w:ind w:left="426" w:hanging="284"/>
            </w:pPr>
            <w:r w:rsidRPr="0069156B">
              <w:t xml:space="preserve">Informazione sull’iniziativa e proposta di adesione formale a tutte le scuole della regione, </w:t>
            </w:r>
            <w:r w:rsidR="00303906">
              <w:t>di ogni ordine e grado</w:t>
            </w:r>
            <w:r w:rsidRPr="0069156B">
              <w:t>;</w:t>
            </w:r>
          </w:p>
          <w:p w:rsidR="0069156B" w:rsidRPr="0069156B" w:rsidRDefault="0069156B" w:rsidP="00303906">
            <w:pPr>
              <w:pStyle w:val="Paragrafoelenco"/>
              <w:numPr>
                <w:ilvl w:val="0"/>
                <w:numId w:val="16"/>
              </w:numPr>
              <w:spacing w:before="60" w:after="60"/>
              <w:ind w:left="426" w:hanging="284"/>
            </w:pPr>
            <w:r w:rsidRPr="0069156B">
              <w:t>Raccolta delle adesioni mediante modulistica standardizzata (on-line);</w:t>
            </w:r>
          </w:p>
          <w:p w:rsidR="0069156B" w:rsidRPr="0069156B" w:rsidRDefault="0069156B" w:rsidP="00303906">
            <w:pPr>
              <w:pStyle w:val="Paragrafoelenco"/>
              <w:numPr>
                <w:ilvl w:val="0"/>
                <w:numId w:val="16"/>
              </w:numPr>
              <w:spacing w:before="60" w:after="60"/>
              <w:ind w:left="426" w:hanging="284"/>
            </w:pPr>
            <w:r w:rsidRPr="0069156B">
              <w:t>Formazione di personale di riferimento per ogni scuola (su base provinciale);</w:t>
            </w:r>
          </w:p>
          <w:p w:rsidR="0069156B" w:rsidRPr="0069156B" w:rsidRDefault="0069156B" w:rsidP="00303906">
            <w:pPr>
              <w:pStyle w:val="Paragrafoelenco"/>
              <w:numPr>
                <w:ilvl w:val="0"/>
                <w:numId w:val="16"/>
              </w:numPr>
              <w:spacing w:before="60" w:after="60"/>
              <w:ind w:left="426" w:hanging="284"/>
            </w:pPr>
            <w:r w:rsidRPr="0069156B">
              <w:t xml:space="preserve">Istituzione formale di una ‘Commissione salute e benessere’ nelle scuole aderenti alla Rete ASPS e inserimento </w:t>
            </w:r>
            <w:r w:rsidR="00303906">
              <w:t>n</w:t>
            </w:r>
            <w:r w:rsidRPr="0069156B">
              <w:t xml:space="preserve">el POF del nuovo </w:t>
            </w:r>
            <w:r w:rsidRPr="0069156B">
              <w:rPr>
                <w:i/>
              </w:rPr>
              <w:t>status</w:t>
            </w:r>
            <w:r w:rsidRPr="0069156B">
              <w:t xml:space="preserve"> di HPS;</w:t>
            </w:r>
          </w:p>
          <w:p w:rsidR="0069156B" w:rsidRPr="0069156B" w:rsidRDefault="0069156B" w:rsidP="00303906">
            <w:pPr>
              <w:pStyle w:val="Paragrafoelenco"/>
              <w:numPr>
                <w:ilvl w:val="0"/>
                <w:numId w:val="16"/>
              </w:numPr>
              <w:spacing w:before="60" w:after="60"/>
              <w:ind w:left="426" w:hanging="284"/>
            </w:pPr>
            <w:r w:rsidRPr="0069156B">
              <w:t xml:space="preserve">Monitoraggio </w:t>
            </w:r>
            <w:r w:rsidRPr="0069156B">
              <w:rPr>
                <w:i/>
              </w:rPr>
              <w:t>baseline</w:t>
            </w:r>
            <w:r w:rsidRPr="0069156B">
              <w:t xml:space="preserve"> sulle scuole aderenti alla Rete ASPS di autovalutazione sul livello di aderenza della scuola al modello HPS nelle diverse aree che lo compongono;</w:t>
            </w:r>
          </w:p>
          <w:p w:rsidR="0069156B" w:rsidRPr="0069156B" w:rsidRDefault="0069156B" w:rsidP="00303906">
            <w:pPr>
              <w:pStyle w:val="Paragrafoelenco"/>
              <w:numPr>
                <w:ilvl w:val="0"/>
                <w:numId w:val="16"/>
              </w:numPr>
              <w:spacing w:before="60" w:after="60"/>
              <w:ind w:left="426" w:hanging="284"/>
            </w:pPr>
            <w:r w:rsidRPr="0069156B">
              <w:t xml:space="preserve">Pianificazione delle azioni che la scuola svilupperà rispetto a tematiche specifiche di salute, azioni di rafforzamento delle </w:t>
            </w:r>
            <w:proofErr w:type="spellStart"/>
            <w:r w:rsidRPr="0069156B">
              <w:rPr>
                <w:i/>
              </w:rPr>
              <w:t>skills</w:t>
            </w:r>
            <w:proofErr w:type="spellEnd"/>
            <w:r w:rsidRPr="0069156B">
              <w:t xml:space="preserve"> personali e aspetti impliciti alla vita scolastica (ethos, ambiente fisico, famiglia, comunità);</w:t>
            </w:r>
          </w:p>
          <w:p w:rsidR="0069156B" w:rsidRPr="0069156B" w:rsidRDefault="0069156B" w:rsidP="00303906">
            <w:pPr>
              <w:pStyle w:val="Paragrafoelenco"/>
              <w:numPr>
                <w:ilvl w:val="0"/>
                <w:numId w:val="16"/>
              </w:numPr>
              <w:spacing w:before="60" w:after="60"/>
              <w:ind w:left="426" w:hanging="284"/>
            </w:pPr>
            <w:r w:rsidRPr="0069156B">
              <w:t xml:space="preserve">Monitoraggio annuale </w:t>
            </w:r>
            <w:r w:rsidRPr="0069156B">
              <w:rPr>
                <w:i/>
              </w:rPr>
              <w:t>di follow-up</w:t>
            </w:r>
            <w:r w:rsidRPr="0069156B">
              <w:t xml:space="preserve"> sulle scuole </w:t>
            </w:r>
            <w:r w:rsidR="00303906">
              <w:t>della</w:t>
            </w:r>
            <w:r w:rsidRPr="0069156B">
              <w:t xml:space="preserve"> Rete ASPS di autovalutazione sul livello di aderenza al modello HPS nelle diverse aree che lo compongono;</w:t>
            </w:r>
          </w:p>
          <w:p w:rsidR="0069156B" w:rsidRPr="0069156B" w:rsidRDefault="0069156B" w:rsidP="00303906">
            <w:pPr>
              <w:pStyle w:val="Paragrafoelenco"/>
              <w:numPr>
                <w:ilvl w:val="0"/>
                <w:numId w:val="16"/>
              </w:numPr>
              <w:spacing w:before="60" w:after="60"/>
              <w:ind w:left="426" w:hanging="284"/>
            </w:pPr>
            <w:r w:rsidRPr="0069156B">
              <w:t>Collegamento alla Rete Locale ASPS e al network SHE;</w:t>
            </w:r>
          </w:p>
          <w:p w:rsidR="0069156B" w:rsidRPr="0069156B" w:rsidRDefault="0069156B" w:rsidP="00303906">
            <w:pPr>
              <w:pStyle w:val="Paragrafoelenco"/>
              <w:numPr>
                <w:ilvl w:val="0"/>
                <w:numId w:val="16"/>
              </w:numPr>
              <w:spacing w:before="60" w:after="60"/>
              <w:ind w:left="426" w:hanging="284"/>
            </w:pPr>
            <w:r w:rsidRPr="0069156B">
              <w:t>Certificazione annuale dell’impegno delle scuole aderenti quali “Scuole Promotrici di Salute”;</w:t>
            </w:r>
          </w:p>
          <w:p w:rsidR="00CF4934" w:rsidRPr="004359DD" w:rsidRDefault="0069156B" w:rsidP="0039237B">
            <w:pPr>
              <w:pStyle w:val="Paragrafoelenco"/>
              <w:numPr>
                <w:ilvl w:val="0"/>
                <w:numId w:val="16"/>
              </w:numPr>
              <w:spacing w:before="60" w:after="60"/>
              <w:ind w:left="1080" w:hanging="284"/>
              <w:rPr>
                <w:b/>
                <w:sz w:val="28"/>
                <w:szCs w:val="28"/>
              </w:rPr>
            </w:pPr>
            <w:r w:rsidRPr="0069156B">
              <w:t>Elaborazione dei dati (di processo, indicatori metrici di autovalutazione) e revisione annuale da parte dell’ORASPS dell’intero processo di costruzione della rete e implementazione del modello HPS nella Regione.</w:t>
            </w:r>
          </w:p>
          <w:p w:rsidR="00303906" w:rsidRPr="0069156B" w:rsidRDefault="00303906" w:rsidP="0039237B">
            <w:pPr>
              <w:pStyle w:val="Paragrafoelenco"/>
              <w:ind w:left="1080"/>
              <w:rPr>
                <w:b/>
                <w:sz w:val="28"/>
                <w:szCs w:val="28"/>
              </w:rPr>
            </w:pPr>
          </w:p>
        </w:tc>
      </w:tr>
    </w:tbl>
    <w:p w:rsidR="003B094A" w:rsidRDefault="003B094A" w:rsidP="00C564CD">
      <w:pPr>
        <w:rPr>
          <w:b/>
          <w:sz w:val="28"/>
          <w:szCs w:val="28"/>
        </w:rPr>
        <w:sectPr w:rsidR="003B094A" w:rsidSect="003B094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851" w:left="1134" w:header="708" w:footer="708" w:gutter="0"/>
          <w:pgNumType w:start="11"/>
          <w:cols w:space="708"/>
          <w:docGrid w:linePitch="360"/>
        </w:sectPr>
      </w:pPr>
    </w:p>
    <w:tbl>
      <w:tblPr>
        <w:tblStyle w:val="Grigliatabella"/>
        <w:tblW w:w="0" w:type="auto"/>
        <w:tblLook w:val="04A0" w:firstRow="1" w:lastRow="0" w:firstColumn="1" w:lastColumn="0" w:noHBand="0" w:noVBand="1"/>
      </w:tblPr>
      <w:tblGrid>
        <w:gridCol w:w="9778"/>
      </w:tblGrid>
      <w:tr w:rsidR="000449DC" w:rsidRPr="000449DC" w:rsidTr="000449DC">
        <w:tc>
          <w:tcPr>
            <w:tcW w:w="9778" w:type="dxa"/>
            <w:shd w:val="clear" w:color="auto" w:fill="D9D9D9" w:themeFill="background1" w:themeFillShade="D9"/>
          </w:tcPr>
          <w:p w:rsidR="000449DC" w:rsidRPr="00273D08" w:rsidRDefault="000449DC" w:rsidP="00C564CD">
            <w:pPr>
              <w:rPr>
                <w:b/>
                <w:sz w:val="28"/>
                <w:szCs w:val="28"/>
              </w:rPr>
            </w:pPr>
            <w:r w:rsidRPr="005D5C28">
              <w:rPr>
                <w:b/>
                <w:sz w:val="28"/>
                <w:szCs w:val="28"/>
              </w:rPr>
              <w:lastRenderedPageBreak/>
              <w:t>ANALISI DEI RISCHI</w:t>
            </w:r>
          </w:p>
        </w:tc>
      </w:tr>
      <w:tr w:rsidR="000449DC" w:rsidRPr="000449DC" w:rsidTr="000449DC">
        <w:tc>
          <w:tcPr>
            <w:tcW w:w="9778" w:type="dxa"/>
          </w:tcPr>
          <w:p w:rsidR="0069156B" w:rsidRPr="0069156B" w:rsidRDefault="0069156B" w:rsidP="00142DCA">
            <w:pPr>
              <w:spacing w:before="60" w:after="60"/>
              <w:ind w:firstLine="142"/>
              <w:jc w:val="both"/>
              <w:rPr>
                <w:sz w:val="24"/>
              </w:rPr>
            </w:pPr>
            <w:r w:rsidRPr="0069156B">
              <w:rPr>
                <w:sz w:val="24"/>
              </w:rPr>
              <w:t>Tra i possibili rischi:</w:t>
            </w:r>
          </w:p>
          <w:p w:rsidR="0069156B" w:rsidRPr="0069156B" w:rsidRDefault="0069156B" w:rsidP="00303906">
            <w:pPr>
              <w:pStyle w:val="Paragrafoelenco"/>
              <w:numPr>
                <w:ilvl w:val="0"/>
                <w:numId w:val="16"/>
              </w:numPr>
              <w:spacing w:before="60" w:after="60"/>
              <w:ind w:left="426" w:hanging="284"/>
            </w:pPr>
            <w:r w:rsidRPr="0069156B">
              <w:t>L’incremento di impegno richiesto alla scuol</w:t>
            </w:r>
            <w:r w:rsidR="00D826CD">
              <w:t>a</w:t>
            </w:r>
            <w:r w:rsidRPr="0069156B">
              <w:t xml:space="preserve"> per sviluppare il percorso sistemico e realizzare tutte le attività necessarie per l’‘accreditamento’ quali “Scuole Promotrici di Salute”;</w:t>
            </w:r>
          </w:p>
          <w:p w:rsidR="0069156B" w:rsidRPr="0069156B" w:rsidRDefault="0069156B" w:rsidP="00303906">
            <w:pPr>
              <w:pStyle w:val="Paragrafoelenco"/>
              <w:numPr>
                <w:ilvl w:val="0"/>
                <w:numId w:val="16"/>
              </w:numPr>
              <w:spacing w:before="60" w:after="60"/>
              <w:ind w:left="426" w:hanging="284"/>
            </w:pPr>
            <w:r w:rsidRPr="0069156B">
              <w:t>I risultati di promozione della salute possono essere  visibili solo nel medio o lungo termine.</w:t>
            </w:r>
          </w:p>
          <w:p w:rsidR="0069156B" w:rsidRPr="0069156B" w:rsidRDefault="0069156B" w:rsidP="00303906">
            <w:pPr>
              <w:pStyle w:val="Paragrafoelenco"/>
              <w:numPr>
                <w:ilvl w:val="0"/>
                <w:numId w:val="16"/>
              </w:numPr>
              <w:spacing w:before="60" w:after="60"/>
              <w:ind w:left="426" w:hanging="284"/>
            </w:pPr>
            <w:r w:rsidRPr="0069156B">
              <w:t>La valutazione è difficile e complessa;</w:t>
            </w:r>
          </w:p>
          <w:p w:rsidR="0069156B" w:rsidRPr="0069156B" w:rsidRDefault="0069156B" w:rsidP="00303906">
            <w:pPr>
              <w:pStyle w:val="Paragrafoelenco"/>
              <w:numPr>
                <w:ilvl w:val="0"/>
                <w:numId w:val="16"/>
              </w:numPr>
              <w:spacing w:before="60" w:after="60"/>
              <w:ind w:left="426" w:hanging="284"/>
            </w:pPr>
            <w:r w:rsidRPr="0069156B">
              <w:t>La comunità dei professionisti della scuola possiede un proprio linguaggio e dei propri concetti che hanno significati diversi da quelli utilizzati in ambito sanitario e in altri settori. Per sviluppare un sapere condiviso sono necessari molto tempo, alleanze e rispetto reciproco</w:t>
            </w:r>
          </w:p>
          <w:p w:rsidR="000449DC" w:rsidRPr="0069156B" w:rsidRDefault="0069156B" w:rsidP="00442513">
            <w:pPr>
              <w:pStyle w:val="Paragrafoelenco"/>
              <w:numPr>
                <w:ilvl w:val="0"/>
                <w:numId w:val="16"/>
              </w:numPr>
              <w:spacing w:before="60" w:after="60"/>
              <w:ind w:left="426" w:hanging="284"/>
              <w:rPr>
                <w:b/>
                <w:sz w:val="28"/>
                <w:szCs w:val="28"/>
              </w:rPr>
            </w:pPr>
            <w:r w:rsidRPr="0069156B">
              <w:t>La difficoltà di fornire alla scuola le prove di efficacia rispetto ai benefici che una strategia di promozione della salute può offrire, migliorando anche i risultati in termini di rendimento scolastico.</w:t>
            </w:r>
          </w:p>
        </w:tc>
      </w:tr>
      <w:tr w:rsidR="00F3591D" w:rsidRPr="000449DC" w:rsidTr="00F3591D">
        <w:tc>
          <w:tcPr>
            <w:tcW w:w="9778" w:type="dxa"/>
            <w:shd w:val="clear" w:color="auto" w:fill="D9D9D9" w:themeFill="background1" w:themeFillShade="D9"/>
          </w:tcPr>
          <w:p w:rsidR="00F3591D" w:rsidRPr="00AF3181" w:rsidRDefault="001B3DB3" w:rsidP="00CA7FD8">
            <w:pPr>
              <w:rPr>
                <w:b/>
                <w:sz w:val="28"/>
                <w:szCs w:val="28"/>
              </w:rPr>
            </w:pPr>
            <w:r w:rsidRPr="001B3DB3">
              <w:rPr>
                <w:b/>
                <w:sz w:val="28"/>
                <w:szCs w:val="28"/>
              </w:rPr>
              <w:t>RIFERIMENTI BIBLIOGRAFICI</w:t>
            </w:r>
          </w:p>
        </w:tc>
      </w:tr>
      <w:tr w:rsidR="00442513" w:rsidRPr="000449DC" w:rsidTr="001B3DB3">
        <w:trPr>
          <w:trHeight w:val="6411"/>
        </w:trPr>
        <w:tc>
          <w:tcPr>
            <w:tcW w:w="9778" w:type="dxa"/>
            <w:vAlign w:val="center"/>
          </w:tcPr>
          <w:p w:rsidR="00442513" w:rsidRPr="00394A5F" w:rsidRDefault="00442513" w:rsidP="001B3DB3">
            <w:pPr>
              <w:ind w:left="426" w:hanging="284"/>
              <w:rPr>
                <w:noProof/>
                <w:sz w:val="20"/>
                <w:szCs w:val="20"/>
                <w:lang w:val="en-US" w:eastAsia="it-IT"/>
              </w:rPr>
            </w:pPr>
            <w:r w:rsidRPr="00394A5F">
              <w:rPr>
                <w:noProof/>
                <w:sz w:val="20"/>
                <w:szCs w:val="20"/>
                <w:lang w:val="en-US" w:eastAsia="it-IT"/>
              </w:rPr>
              <w:t>1.</w:t>
            </w:r>
            <w:r w:rsidRPr="00394A5F">
              <w:rPr>
                <w:noProof/>
                <w:sz w:val="20"/>
                <w:szCs w:val="20"/>
                <w:lang w:val="en-US" w:eastAsia="it-IT"/>
              </w:rPr>
              <w:tab/>
              <w:t>Centres for Disease Control and Prevention (CDC). School Health Index: A Self-Assessment and Planning Guide. Elementary school version. Atlanta, Georgia, 2005.</w:t>
            </w:r>
          </w:p>
          <w:p w:rsidR="00442513" w:rsidRPr="001B3DB3" w:rsidRDefault="00442513" w:rsidP="001B3DB3">
            <w:pPr>
              <w:ind w:left="426" w:hanging="284"/>
              <w:rPr>
                <w:noProof/>
                <w:sz w:val="20"/>
                <w:szCs w:val="20"/>
                <w:lang w:eastAsia="it-IT"/>
              </w:rPr>
            </w:pPr>
            <w:r w:rsidRPr="00394A5F">
              <w:rPr>
                <w:noProof/>
                <w:sz w:val="20"/>
                <w:szCs w:val="20"/>
                <w:lang w:val="en-US" w:eastAsia="it-IT"/>
              </w:rPr>
              <w:t>2.</w:t>
            </w:r>
            <w:r w:rsidRPr="00394A5F">
              <w:rPr>
                <w:noProof/>
                <w:sz w:val="20"/>
                <w:szCs w:val="20"/>
                <w:lang w:val="en-US" w:eastAsia="it-IT"/>
              </w:rPr>
              <w:tab/>
              <w:t xml:space="preserve">International Union for Health Promotion and Education (IUHPE). </w:t>
            </w:r>
            <w:r w:rsidRPr="001B3DB3">
              <w:rPr>
                <w:noProof/>
                <w:sz w:val="20"/>
                <w:szCs w:val="20"/>
                <w:lang w:eastAsia="it-IT"/>
              </w:rPr>
              <w:t>Promuovere la Salute a Scuola dall’evidenza all’azione. 2010.</w:t>
            </w:r>
          </w:p>
          <w:p w:rsidR="00442513" w:rsidRPr="001B3DB3" w:rsidRDefault="00442513" w:rsidP="001B3DB3">
            <w:pPr>
              <w:ind w:left="426" w:hanging="284"/>
              <w:rPr>
                <w:noProof/>
                <w:sz w:val="20"/>
                <w:szCs w:val="20"/>
                <w:lang w:eastAsia="it-IT"/>
              </w:rPr>
            </w:pPr>
            <w:r w:rsidRPr="001B3DB3">
              <w:rPr>
                <w:noProof/>
                <w:sz w:val="20"/>
                <w:szCs w:val="20"/>
                <w:lang w:eastAsia="it-IT"/>
              </w:rPr>
              <w:t>3.</w:t>
            </w:r>
            <w:r w:rsidRPr="001B3DB3">
              <w:rPr>
                <w:noProof/>
                <w:sz w:val="20"/>
                <w:szCs w:val="20"/>
                <w:lang w:eastAsia="it-IT"/>
              </w:rPr>
              <w:tab/>
              <w:t>International Union for Health Promotion and Education (IUHPE). Verso una scuola che promuove salute: linee guida per la promozione della salute nelle scuole. 2° versione del documento “Protocolli e linee guida per le scuole che promuovono salute”. 2011.</w:t>
            </w:r>
          </w:p>
          <w:p w:rsidR="00442513" w:rsidRPr="00394A5F" w:rsidRDefault="00442513" w:rsidP="001B3DB3">
            <w:pPr>
              <w:ind w:left="426" w:hanging="284"/>
              <w:rPr>
                <w:noProof/>
                <w:sz w:val="20"/>
                <w:szCs w:val="20"/>
                <w:lang w:val="en-US" w:eastAsia="it-IT"/>
              </w:rPr>
            </w:pPr>
            <w:r w:rsidRPr="001B3DB3">
              <w:rPr>
                <w:noProof/>
                <w:sz w:val="20"/>
                <w:szCs w:val="20"/>
                <w:lang w:eastAsia="it-IT"/>
              </w:rPr>
              <w:t>4.</w:t>
            </w:r>
            <w:r w:rsidRPr="001B3DB3">
              <w:rPr>
                <w:noProof/>
                <w:sz w:val="20"/>
                <w:szCs w:val="20"/>
                <w:lang w:eastAsia="it-IT"/>
              </w:rPr>
              <w:tab/>
              <w:t xml:space="preserve">International Union for Health Promotion and Evaluation (IUHPE). Facilitare il dialogo tra il settore sanitario e quello scolastico per favorire la promozione e l’educazione alla salute nella scuola. </w:t>
            </w:r>
            <w:r w:rsidRPr="00394A5F">
              <w:rPr>
                <w:noProof/>
                <w:sz w:val="20"/>
                <w:szCs w:val="20"/>
                <w:lang w:val="en-US" w:eastAsia="it-IT"/>
              </w:rPr>
              <w:t>2013.</w:t>
            </w:r>
          </w:p>
          <w:p w:rsidR="00442513" w:rsidRPr="00394A5F" w:rsidRDefault="00442513" w:rsidP="001B3DB3">
            <w:pPr>
              <w:ind w:left="426" w:hanging="284"/>
              <w:rPr>
                <w:noProof/>
                <w:sz w:val="20"/>
                <w:szCs w:val="20"/>
                <w:lang w:val="en-US" w:eastAsia="it-IT"/>
              </w:rPr>
            </w:pPr>
            <w:r w:rsidRPr="00394A5F">
              <w:rPr>
                <w:noProof/>
                <w:sz w:val="20"/>
                <w:szCs w:val="20"/>
                <w:lang w:val="en-US" w:eastAsia="it-IT"/>
              </w:rPr>
              <w:t>5.</w:t>
            </w:r>
            <w:r w:rsidRPr="00394A5F">
              <w:rPr>
                <w:noProof/>
                <w:sz w:val="20"/>
                <w:szCs w:val="20"/>
                <w:lang w:val="en-US" w:eastAsia="it-IT"/>
              </w:rPr>
              <w:tab/>
              <w:t>Langford R, Bonell C, Jones H, Pouliou T, Murphy S, Waters E, Komro K, Gibbs L, Magnus D, Campbell R. The World Health Organization’s Health Promoting Schools framework: a Cochrane systematic review and meta-analysis. BMC Public Health (2015) 15:130.</w:t>
            </w:r>
          </w:p>
          <w:p w:rsidR="00442513" w:rsidRPr="00394A5F" w:rsidRDefault="00442513" w:rsidP="001B3DB3">
            <w:pPr>
              <w:ind w:left="426" w:hanging="284"/>
              <w:rPr>
                <w:noProof/>
                <w:sz w:val="20"/>
                <w:szCs w:val="20"/>
                <w:lang w:val="en-US" w:eastAsia="it-IT"/>
              </w:rPr>
            </w:pPr>
            <w:r w:rsidRPr="00394A5F">
              <w:rPr>
                <w:noProof/>
                <w:sz w:val="20"/>
                <w:szCs w:val="20"/>
                <w:lang w:val="en-US" w:eastAsia="it-IT"/>
              </w:rPr>
              <w:t>6.</w:t>
            </w:r>
            <w:r w:rsidRPr="00394A5F">
              <w:rPr>
                <w:noProof/>
                <w:sz w:val="20"/>
                <w:szCs w:val="20"/>
                <w:lang w:val="en-US" w:eastAsia="it-IT"/>
              </w:rPr>
              <w:tab/>
              <w:t>Rothwell H, Sheperd M, Towsend N, Burgess S, Pimm C, Murphi S. The importance of participation in a whole-school approach to health: evidence from a review of the Welsh Network of Healthy School Schemes (WNHSS), Atti della Third European conference on health promoting school “Better schools through health”. Vilnius (Lituania), 15-17 giugno 2009.</w:t>
            </w:r>
          </w:p>
          <w:p w:rsidR="00442513" w:rsidRPr="00394A5F" w:rsidRDefault="00442513" w:rsidP="001B3DB3">
            <w:pPr>
              <w:ind w:left="426" w:hanging="284"/>
              <w:rPr>
                <w:noProof/>
                <w:sz w:val="20"/>
                <w:szCs w:val="20"/>
                <w:lang w:val="en-US" w:eastAsia="it-IT"/>
              </w:rPr>
            </w:pPr>
            <w:r w:rsidRPr="00394A5F">
              <w:rPr>
                <w:noProof/>
                <w:sz w:val="20"/>
                <w:szCs w:val="20"/>
                <w:lang w:val="en-US" w:eastAsia="it-IT"/>
              </w:rPr>
              <w:t>7.</w:t>
            </w:r>
            <w:r w:rsidRPr="00394A5F">
              <w:rPr>
                <w:noProof/>
                <w:sz w:val="20"/>
                <w:szCs w:val="20"/>
                <w:lang w:val="en-US" w:eastAsia="it-IT"/>
              </w:rPr>
              <w:tab/>
              <w:t>Safarjan E, Buijs G, de Ruiter S. SHE online school manual: 5 steps to a health promoting school. CBO. Utrecht, the Netherlands. 2013.</w:t>
            </w:r>
          </w:p>
          <w:p w:rsidR="00442513" w:rsidRPr="00394A5F" w:rsidRDefault="00442513" w:rsidP="001B3DB3">
            <w:pPr>
              <w:ind w:left="426" w:hanging="284"/>
              <w:rPr>
                <w:noProof/>
                <w:sz w:val="20"/>
                <w:szCs w:val="20"/>
                <w:lang w:val="en-US" w:eastAsia="it-IT"/>
              </w:rPr>
            </w:pPr>
            <w:r w:rsidRPr="00394A5F">
              <w:rPr>
                <w:noProof/>
                <w:sz w:val="20"/>
                <w:szCs w:val="20"/>
                <w:lang w:val="en-US" w:eastAsia="it-IT"/>
              </w:rPr>
              <w:t>8.</w:t>
            </w:r>
            <w:r w:rsidRPr="00394A5F">
              <w:rPr>
                <w:noProof/>
                <w:sz w:val="20"/>
                <w:szCs w:val="20"/>
                <w:lang w:val="en-US" w:eastAsia="it-IT"/>
              </w:rPr>
              <w:tab/>
              <w:t>Scatigna M, Bernabei A, Molinaro S, Siciliano V, Cereatti F, Gigante R, Sementilli G, Leone L. Transcultural validation of CDC’s School Health Index in Italian context. Atti della Third European conference on health promoting school “Better schools through health”. Vilnius (Lituania), 15-17 giugno 2009.</w:t>
            </w:r>
          </w:p>
          <w:p w:rsidR="00442513" w:rsidRPr="00394A5F" w:rsidRDefault="00442513" w:rsidP="001B3DB3">
            <w:pPr>
              <w:ind w:left="426" w:hanging="284"/>
              <w:rPr>
                <w:noProof/>
                <w:sz w:val="20"/>
                <w:szCs w:val="20"/>
                <w:lang w:val="en-US" w:eastAsia="it-IT"/>
              </w:rPr>
            </w:pPr>
            <w:r w:rsidRPr="00394A5F">
              <w:rPr>
                <w:noProof/>
                <w:sz w:val="20"/>
                <w:szCs w:val="20"/>
                <w:lang w:val="en-US" w:eastAsia="it-IT"/>
              </w:rPr>
              <w:t>9.</w:t>
            </w:r>
            <w:r w:rsidRPr="00394A5F">
              <w:rPr>
                <w:noProof/>
                <w:sz w:val="20"/>
                <w:szCs w:val="20"/>
                <w:lang w:val="en-US" w:eastAsia="it-IT"/>
              </w:rPr>
              <w:tab/>
              <w:t>St Leger L, Developing indicators to enhance school health. Health Education Research, 2000; 15, 719-728.</w:t>
            </w:r>
          </w:p>
          <w:p w:rsidR="00442513" w:rsidRDefault="00442513" w:rsidP="001B3DB3">
            <w:pPr>
              <w:ind w:left="426" w:hanging="284"/>
              <w:rPr>
                <w:noProof/>
                <w:sz w:val="24"/>
                <w:lang w:eastAsia="it-IT"/>
              </w:rPr>
            </w:pPr>
            <w:r w:rsidRPr="00394A5F">
              <w:rPr>
                <w:noProof/>
                <w:sz w:val="20"/>
                <w:szCs w:val="20"/>
                <w:lang w:val="en-US" w:eastAsia="it-IT"/>
              </w:rPr>
              <w:t xml:space="preserve">10.Woynarowska B, Sokolowska M. Establishing the Health-Promoting School National Certificate in Poland. .Atti della Third European conference on health promoting school “Better schools through health”. </w:t>
            </w:r>
            <w:r w:rsidRPr="001B3DB3">
              <w:rPr>
                <w:noProof/>
                <w:sz w:val="20"/>
                <w:szCs w:val="20"/>
                <w:lang w:eastAsia="it-IT"/>
              </w:rPr>
              <w:t>Vilnius (Lituania), 15-17 giugno 2009.</w:t>
            </w:r>
          </w:p>
        </w:tc>
      </w:tr>
    </w:tbl>
    <w:p w:rsidR="001B3DB3" w:rsidRDefault="001B3DB3" w:rsidP="00511077">
      <w:pPr>
        <w:rPr>
          <w:b/>
          <w:sz w:val="28"/>
          <w:szCs w:val="28"/>
        </w:rPr>
        <w:sectPr w:rsidR="001B3DB3" w:rsidSect="003B094A">
          <w:pgSz w:w="11906" w:h="16838"/>
          <w:pgMar w:top="1417" w:right="1134" w:bottom="851" w:left="1134" w:header="708" w:footer="708" w:gutter="0"/>
          <w:cols w:space="708"/>
          <w:docGrid w:linePitch="360"/>
        </w:sectPr>
      </w:pPr>
    </w:p>
    <w:tbl>
      <w:tblPr>
        <w:tblStyle w:val="Grigliatabella"/>
        <w:tblW w:w="14567" w:type="dxa"/>
        <w:tblLook w:val="04A0" w:firstRow="1" w:lastRow="0" w:firstColumn="1" w:lastColumn="0" w:noHBand="0" w:noVBand="1"/>
      </w:tblPr>
      <w:tblGrid>
        <w:gridCol w:w="14567"/>
      </w:tblGrid>
      <w:tr w:rsidR="00F3591D" w:rsidRPr="000449DC" w:rsidTr="001B3DB3">
        <w:tc>
          <w:tcPr>
            <w:tcW w:w="14567" w:type="dxa"/>
            <w:shd w:val="clear" w:color="auto" w:fill="D9D9D9" w:themeFill="background1" w:themeFillShade="D9"/>
          </w:tcPr>
          <w:p w:rsidR="00F3591D" w:rsidRPr="00AF3181" w:rsidRDefault="00F3591D" w:rsidP="00511077">
            <w:pPr>
              <w:rPr>
                <w:b/>
                <w:sz w:val="28"/>
                <w:szCs w:val="28"/>
              </w:rPr>
            </w:pPr>
            <w:r w:rsidRPr="00AF3181">
              <w:rPr>
                <w:b/>
                <w:sz w:val="28"/>
                <w:szCs w:val="28"/>
              </w:rPr>
              <w:lastRenderedPageBreak/>
              <w:t>CRONOPROGRAMMA DELL’AZIONE</w:t>
            </w:r>
          </w:p>
        </w:tc>
      </w:tr>
    </w:tbl>
    <w:p w:rsidR="001B3DB3" w:rsidRDefault="001B3DB3" w:rsidP="001B3DB3">
      <w:pPr>
        <w:spacing w:after="0" w:line="240" w:lineRule="auto"/>
      </w:pPr>
    </w:p>
    <w:p w:rsidR="001B3DB3" w:rsidRDefault="001B3DB3" w:rsidP="001B3DB3">
      <w:pPr>
        <w:spacing w:after="0" w:line="240" w:lineRule="auto"/>
      </w:pPr>
      <w:r w:rsidRPr="001B3DB3">
        <w:rPr>
          <w:noProof/>
          <w:lang w:eastAsia="it-IT"/>
        </w:rPr>
        <w:drawing>
          <wp:inline distT="0" distB="0" distL="0" distR="0">
            <wp:extent cx="8958715" cy="5475768"/>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963107" cy="5478452"/>
                    </a:xfrm>
                    <a:prstGeom prst="rect">
                      <a:avLst/>
                    </a:prstGeom>
                    <a:noFill/>
                    <a:ln w="9525">
                      <a:noFill/>
                      <a:miter lim="800000"/>
                      <a:headEnd/>
                      <a:tailEnd/>
                    </a:ln>
                  </pic:spPr>
                </pic:pic>
              </a:graphicData>
            </a:graphic>
          </wp:inline>
        </w:drawing>
      </w:r>
    </w:p>
    <w:p w:rsidR="001B3DB3" w:rsidRDefault="001B3DB3" w:rsidP="001B3DB3">
      <w:pPr>
        <w:spacing w:after="0" w:line="240" w:lineRule="auto"/>
      </w:pPr>
    </w:p>
    <w:p w:rsidR="001B3DB3" w:rsidRDefault="001B3DB3" w:rsidP="00442513">
      <w:pPr>
        <w:sectPr w:rsidR="001B3DB3" w:rsidSect="001B3DB3">
          <w:pgSz w:w="16838" w:h="11906" w:orient="landscape"/>
          <w:pgMar w:top="1134" w:right="1417" w:bottom="1134" w:left="1134" w:header="708" w:footer="708" w:gutter="0"/>
          <w:cols w:space="708"/>
          <w:docGrid w:linePitch="360"/>
        </w:sectPr>
      </w:pPr>
    </w:p>
    <w:p w:rsidR="0069156B" w:rsidRPr="000449DC" w:rsidRDefault="0069156B" w:rsidP="00442513"/>
    <w:sectPr w:rsidR="0069156B" w:rsidRPr="000449DC" w:rsidSect="001727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B0" w:rsidRDefault="009932B0" w:rsidP="003B094A">
      <w:pPr>
        <w:spacing w:after="0" w:line="240" w:lineRule="auto"/>
      </w:pPr>
      <w:r>
        <w:separator/>
      </w:r>
    </w:p>
  </w:endnote>
  <w:endnote w:type="continuationSeparator" w:id="0">
    <w:p w:rsidR="009932B0" w:rsidRDefault="009932B0" w:rsidP="003B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19" w:rsidRDefault="0058361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98179"/>
      <w:docPartObj>
        <w:docPartGallery w:val="Page Numbers (Bottom of Page)"/>
        <w:docPartUnique/>
      </w:docPartObj>
    </w:sdtPr>
    <w:sdtContent>
      <w:bookmarkStart w:id="0" w:name="_GoBack" w:displacedByCustomXml="prev"/>
      <w:bookmarkEnd w:id="0" w:displacedByCustomXml="prev"/>
      <w:p w:rsidR="00583619" w:rsidRDefault="00583619">
        <w:pPr>
          <w:pStyle w:val="Pidipagina"/>
          <w:jc w:val="right"/>
        </w:pPr>
        <w:r>
          <w:fldChar w:fldCharType="begin"/>
        </w:r>
        <w:r>
          <w:instrText>PAGE   \* MERGEFORMAT</w:instrText>
        </w:r>
        <w:r>
          <w:fldChar w:fldCharType="separate"/>
        </w:r>
        <w:r>
          <w:rPr>
            <w:noProof/>
          </w:rPr>
          <w:t>11</w:t>
        </w:r>
        <w:r>
          <w:fldChar w:fldCharType="end"/>
        </w:r>
      </w:p>
    </w:sdtContent>
  </w:sdt>
  <w:p w:rsidR="003B094A" w:rsidRDefault="003B094A" w:rsidP="00E22E88">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19" w:rsidRDefault="005836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B0" w:rsidRDefault="009932B0" w:rsidP="003B094A">
      <w:pPr>
        <w:spacing w:after="0" w:line="240" w:lineRule="auto"/>
      </w:pPr>
      <w:r>
        <w:separator/>
      </w:r>
    </w:p>
  </w:footnote>
  <w:footnote w:type="continuationSeparator" w:id="0">
    <w:p w:rsidR="009932B0" w:rsidRDefault="009932B0" w:rsidP="003B0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19" w:rsidRDefault="0058361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19" w:rsidRDefault="0058361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19" w:rsidRDefault="0058361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06C"/>
    <w:multiLevelType w:val="hybridMultilevel"/>
    <w:tmpl w:val="D9A066C6"/>
    <w:lvl w:ilvl="0" w:tplc="4EDE0944">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A82F44"/>
    <w:multiLevelType w:val="hybridMultilevel"/>
    <w:tmpl w:val="B6C2CD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396A9E"/>
    <w:multiLevelType w:val="hybridMultilevel"/>
    <w:tmpl w:val="0E1EFCFE"/>
    <w:lvl w:ilvl="0" w:tplc="CABC1A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2BCF6271"/>
    <w:multiLevelType w:val="hybridMultilevel"/>
    <w:tmpl w:val="8F624D4A"/>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CB2897"/>
    <w:multiLevelType w:val="hybridMultilevel"/>
    <w:tmpl w:val="A5AE8222"/>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CF245C"/>
    <w:multiLevelType w:val="hybridMultilevel"/>
    <w:tmpl w:val="8C2AB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B01E39"/>
    <w:multiLevelType w:val="hybridMultilevel"/>
    <w:tmpl w:val="6D1AE9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3A5209FC"/>
    <w:multiLevelType w:val="hybridMultilevel"/>
    <w:tmpl w:val="F220572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nsid w:val="3C7806DD"/>
    <w:multiLevelType w:val="hybridMultilevel"/>
    <w:tmpl w:val="EB5E0E1E"/>
    <w:lvl w:ilvl="0" w:tplc="9886DC4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EC0D8D"/>
    <w:multiLevelType w:val="hybridMultilevel"/>
    <w:tmpl w:val="0DD89472"/>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FB0144"/>
    <w:multiLevelType w:val="hybridMultilevel"/>
    <w:tmpl w:val="0DAE4632"/>
    <w:lvl w:ilvl="0" w:tplc="EED624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A817FE"/>
    <w:multiLevelType w:val="hybridMultilevel"/>
    <w:tmpl w:val="4D4CB27E"/>
    <w:lvl w:ilvl="0" w:tplc="955EA2BA">
      <w:numFmt w:val="bullet"/>
      <w:lvlText w:val="-"/>
      <w:lvlJc w:val="left"/>
      <w:pPr>
        <w:tabs>
          <w:tab w:val="num" w:pos="720"/>
        </w:tabs>
        <w:ind w:left="720" w:hanging="360"/>
      </w:pPr>
      <w:rPr>
        <w:rFonts w:ascii="Comic Sans MS" w:eastAsia="Calibri" w:hAnsi="Comic Sans MS" w:cs="Times New Roman" w:hint="default"/>
      </w:rPr>
    </w:lvl>
    <w:lvl w:ilvl="1" w:tplc="DD604E5A" w:tentative="1">
      <w:start w:val="1"/>
      <w:numFmt w:val="bullet"/>
      <w:lvlText w:val=""/>
      <w:lvlJc w:val="left"/>
      <w:pPr>
        <w:tabs>
          <w:tab w:val="num" w:pos="1440"/>
        </w:tabs>
        <w:ind w:left="1440" w:hanging="360"/>
      </w:pPr>
      <w:rPr>
        <w:rFonts w:ascii="Wingdings" w:hAnsi="Wingdings" w:hint="default"/>
      </w:rPr>
    </w:lvl>
    <w:lvl w:ilvl="2" w:tplc="2B5844AA" w:tentative="1">
      <w:start w:val="1"/>
      <w:numFmt w:val="bullet"/>
      <w:lvlText w:val=""/>
      <w:lvlJc w:val="left"/>
      <w:pPr>
        <w:tabs>
          <w:tab w:val="num" w:pos="2160"/>
        </w:tabs>
        <w:ind w:left="2160" w:hanging="360"/>
      </w:pPr>
      <w:rPr>
        <w:rFonts w:ascii="Wingdings" w:hAnsi="Wingdings" w:hint="default"/>
      </w:rPr>
    </w:lvl>
    <w:lvl w:ilvl="3" w:tplc="7D4061AE" w:tentative="1">
      <w:start w:val="1"/>
      <w:numFmt w:val="bullet"/>
      <w:lvlText w:val=""/>
      <w:lvlJc w:val="left"/>
      <w:pPr>
        <w:tabs>
          <w:tab w:val="num" w:pos="2880"/>
        </w:tabs>
        <w:ind w:left="2880" w:hanging="360"/>
      </w:pPr>
      <w:rPr>
        <w:rFonts w:ascii="Wingdings" w:hAnsi="Wingdings" w:hint="default"/>
      </w:rPr>
    </w:lvl>
    <w:lvl w:ilvl="4" w:tplc="A5402B6E" w:tentative="1">
      <w:start w:val="1"/>
      <w:numFmt w:val="bullet"/>
      <w:lvlText w:val=""/>
      <w:lvlJc w:val="left"/>
      <w:pPr>
        <w:tabs>
          <w:tab w:val="num" w:pos="3600"/>
        </w:tabs>
        <w:ind w:left="3600" w:hanging="360"/>
      </w:pPr>
      <w:rPr>
        <w:rFonts w:ascii="Wingdings" w:hAnsi="Wingdings" w:hint="default"/>
      </w:rPr>
    </w:lvl>
    <w:lvl w:ilvl="5" w:tplc="61C2AD22" w:tentative="1">
      <w:start w:val="1"/>
      <w:numFmt w:val="bullet"/>
      <w:lvlText w:val=""/>
      <w:lvlJc w:val="left"/>
      <w:pPr>
        <w:tabs>
          <w:tab w:val="num" w:pos="4320"/>
        </w:tabs>
        <w:ind w:left="4320" w:hanging="360"/>
      </w:pPr>
      <w:rPr>
        <w:rFonts w:ascii="Wingdings" w:hAnsi="Wingdings" w:hint="default"/>
      </w:rPr>
    </w:lvl>
    <w:lvl w:ilvl="6" w:tplc="75C8D6FE" w:tentative="1">
      <w:start w:val="1"/>
      <w:numFmt w:val="bullet"/>
      <w:lvlText w:val=""/>
      <w:lvlJc w:val="left"/>
      <w:pPr>
        <w:tabs>
          <w:tab w:val="num" w:pos="5040"/>
        </w:tabs>
        <w:ind w:left="5040" w:hanging="360"/>
      </w:pPr>
      <w:rPr>
        <w:rFonts w:ascii="Wingdings" w:hAnsi="Wingdings" w:hint="default"/>
      </w:rPr>
    </w:lvl>
    <w:lvl w:ilvl="7" w:tplc="6FDCEA3A" w:tentative="1">
      <w:start w:val="1"/>
      <w:numFmt w:val="bullet"/>
      <w:lvlText w:val=""/>
      <w:lvlJc w:val="left"/>
      <w:pPr>
        <w:tabs>
          <w:tab w:val="num" w:pos="5760"/>
        </w:tabs>
        <w:ind w:left="5760" w:hanging="360"/>
      </w:pPr>
      <w:rPr>
        <w:rFonts w:ascii="Wingdings" w:hAnsi="Wingdings" w:hint="default"/>
      </w:rPr>
    </w:lvl>
    <w:lvl w:ilvl="8" w:tplc="494A1AB0" w:tentative="1">
      <w:start w:val="1"/>
      <w:numFmt w:val="bullet"/>
      <w:lvlText w:val=""/>
      <w:lvlJc w:val="left"/>
      <w:pPr>
        <w:tabs>
          <w:tab w:val="num" w:pos="6480"/>
        </w:tabs>
        <w:ind w:left="6480" w:hanging="360"/>
      </w:pPr>
      <w:rPr>
        <w:rFonts w:ascii="Wingdings" w:hAnsi="Wingdings" w:hint="default"/>
      </w:rPr>
    </w:lvl>
  </w:abstractNum>
  <w:abstractNum w:abstractNumId="12">
    <w:nsid w:val="4DF15ECA"/>
    <w:multiLevelType w:val="hybridMultilevel"/>
    <w:tmpl w:val="168EBB56"/>
    <w:lvl w:ilvl="0" w:tplc="213EB7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D8674F"/>
    <w:multiLevelType w:val="hybridMultilevel"/>
    <w:tmpl w:val="00AC01C8"/>
    <w:lvl w:ilvl="0" w:tplc="CEB8098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302F4B"/>
    <w:multiLevelType w:val="hybridMultilevel"/>
    <w:tmpl w:val="F3605D98"/>
    <w:lvl w:ilvl="0" w:tplc="CABC1A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2F3ECD"/>
    <w:multiLevelType w:val="hybridMultilevel"/>
    <w:tmpl w:val="7AD0DB26"/>
    <w:lvl w:ilvl="0" w:tplc="EE2C8F3C">
      <w:start w:val="1"/>
      <w:numFmt w:val="bullet"/>
      <w:lvlText w:val="−"/>
      <w:lvlJc w:val="left"/>
      <w:pPr>
        <w:ind w:left="1428" w:hanging="360"/>
      </w:pPr>
      <w:rPr>
        <w:rFonts w:ascii="Calibri" w:hAnsi="Calibri" w:hint="default"/>
      </w:rPr>
    </w:lvl>
    <w:lvl w:ilvl="1" w:tplc="B78C1656">
      <w:numFmt w:val="bullet"/>
      <w:lvlText w:val="•"/>
      <w:lvlJc w:val="left"/>
      <w:pPr>
        <w:ind w:left="2148" w:hanging="360"/>
      </w:pPr>
      <w:rPr>
        <w:rFonts w:ascii="Garamond" w:eastAsiaTheme="minorHAnsi" w:hAnsi="Garamond" w:cstheme="minorBidi"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62B61E81"/>
    <w:multiLevelType w:val="hybridMultilevel"/>
    <w:tmpl w:val="69009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E33888"/>
    <w:multiLevelType w:val="hybridMultilevel"/>
    <w:tmpl w:val="D6204640"/>
    <w:lvl w:ilvl="0" w:tplc="CEB80988">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650C5CEF"/>
    <w:multiLevelType w:val="hybridMultilevel"/>
    <w:tmpl w:val="50763C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8AD00CD"/>
    <w:multiLevelType w:val="hybridMultilevel"/>
    <w:tmpl w:val="B63EDAE4"/>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72014FF5"/>
    <w:multiLevelType w:val="hybridMultilevel"/>
    <w:tmpl w:val="60AAB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A83B69"/>
    <w:multiLevelType w:val="hybridMultilevel"/>
    <w:tmpl w:val="DE78439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7F3A38C5"/>
    <w:multiLevelType w:val="hybridMultilevel"/>
    <w:tmpl w:val="419EC4B6"/>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7"/>
  </w:num>
  <w:num w:numId="4">
    <w:abstractNumId w:val="12"/>
  </w:num>
  <w:num w:numId="5">
    <w:abstractNumId w:val="11"/>
  </w:num>
  <w:num w:numId="6">
    <w:abstractNumId w:val="13"/>
  </w:num>
  <w:num w:numId="7">
    <w:abstractNumId w:val="16"/>
  </w:num>
  <w:num w:numId="8">
    <w:abstractNumId w:val="4"/>
  </w:num>
  <w:num w:numId="9">
    <w:abstractNumId w:val="3"/>
  </w:num>
  <w:num w:numId="10">
    <w:abstractNumId w:val="10"/>
  </w:num>
  <w:num w:numId="11">
    <w:abstractNumId w:val="21"/>
  </w:num>
  <w:num w:numId="12">
    <w:abstractNumId w:val="6"/>
  </w:num>
  <w:num w:numId="13">
    <w:abstractNumId w:val="22"/>
  </w:num>
  <w:num w:numId="14">
    <w:abstractNumId w:val="9"/>
  </w:num>
  <w:num w:numId="15">
    <w:abstractNumId w:val="17"/>
  </w:num>
  <w:num w:numId="16">
    <w:abstractNumId w:val="15"/>
  </w:num>
  <w:num w:numId="17">
    <w:abstractNumId w:val="19"/>
  </w:num>
  <w:num w:numId="18">
    <w:abstractNumId w:val="5"/>
  </w:num>
  <w:num w:numId="19">
    <w:abstractNumId w:val="1"/>
  </w:num>
  <w:num w:numId="20">
    <w:abstractNumId w:val="18"/>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49DC"/>
    <w:rsid w:val="000449DC"/>
    <w:rsid w:val="00061A1C"/>
    <w:rsid w:val="000D3CCC"/>
    <w:rsid w:val="00130681"/>
    <w:rsid w:val="00142DCA"/>
    <w:rsid w:val="001504C4"/>
    <w:rsid w:val="00160152"/>
    <w:rsid w:val="00172732"/>
    <w:rsid w:val="00172D4E"/>
    <w:rsid w:val="00184227"/>
    <w:rsid w:val="001B3DB3"/>
    <w:rsid w:val="001B4814"/>
    <w:rsid w:val="0024457A"/>
    <w:rsid w:val="002A38BC"/>
    <w:rsid w:val="002F655D"/>
    <w:rsid w:val="00303906"/>
    <w:rsid w:val="0039237B"/>
    <w:rsid w:val="00394A5F"/>
    <w:rsid w:val="003B094A"/>
    <w:rsid w:val="003D2037"/>
    <w:rsid w:val="004078D6"/>
    <w:rsid w:val="0043436D"/>
    <w:rsid w:val="004359DD"/>
    <w:rsid w:val="00442513"/>
    <w:rsid w:val="00583619"/>
    <w:rsid w:val="005943C6"/>
    <w:rsid w:val="005C779C"/>
    <w:rsid w:val="0069156B"/>
    <w:rsid w:val="006936CB"/>
    <w:rsid w:val="006E2488"/>
    <w:rsid w:val="0071552A"/>
    <w:rsid w:val="00721390"/>
    <w:rsid w:val="00805BD7"/>
    <w:rsid w:val="00827381"/>
    <w:rsid w:val="008307F3"/>
    <w:rsid w:val="008451E4"/>
    <w:rsid w:val="008B69CA"/>
    <w:rsid w:val="008C1C96"/>
    <w:rsid w:val="008E644B"/>
    <w:rsid w:val="009035FE"/>
    <w:rsid w:val="009562E9"/>
    <w:rsid w:val="00960719"/>
    <w:rsid w:val="009932B0"/>
    <w:rsid w:val="009B78D7"/>
    <w:rsid w:val="00AF3181"/>
    <w:rsid w:val="00C10A9C"/>
    <w:rsid w:val="00C564CD"/>
    <w:rsid w:val="00CF4934"/>
    <w:rsid w:val="00D1652F"/>
    <w:rsid w:val="00D826CD"/>
    <w:rsid w:val="00E22E88"/>
    <w:rsid w:val="00E51471"/>
    <w:rsid w:val="00E967B8"/>
    <w:rsid w:val="00F24A42"/>
    <w:rsid w:val="00F35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7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449DC"/>
    <w:pPr>
      <w:ind w:left="720"/>
      <w:contextualSpacing/>
      <w:jc w:val="both"/>
    </w:pPr>
  </w:style>
  <w:style w:type="paragraph" w:styleId="NormaleWeb">
    <w:name w:val="Normal (Web)"/>
    <w:basedOn w:val="Normale"/>
    <w:uiPriority w:val="99"/>
    <w:semiHidden/>
    <w:unhideWhenUsed/>
    <w:rsid w:val="00CF49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4934"/>
  </w:style>
  <w:style w:type="paragraph" w:styleId="Testofumetto">
    <w:name w:val="Balloon Text"/>
    <w:basedOn w:val="Normale"/>
    <w:link w:val="TestofumettoCarattere"/>
    <w:uiPriority w:val="99"/>
    <w:semiHidden/>
    <w:unhideWhenUsed/>
    <w:rsid w:val="006915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56B"/>
    <w:rPr>
      <w:rFonts w:ascii="Tahoma" w:hAnsi="Tahoma" w:cs="Tahoma"/>
      <w:sz w:val="16"/>
      <w:szCs w:val="16"/>
    </w:rPr>
  </w:style>
  <w:style w:type="paragraph" w:styleId="Intestazione">
    <w:name w:val="header"/>
    <w:basedOn w:val="Normale"/>
    <w:link w:val="IntestazioneCarattere"/>
    <w:uiPriority w:val="99"/>
    <w:unhideWhenUsed/>
    <w:rsid w:val="003B09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94A"/>
  </w:style>
  <w:style w:type="paragraph" w:styleId="Pidipagina">
    <w:name w:val="footer"/>
    <w:basedOn w:val="Normale"/>
    <w:link w:val="PidipaginaCarattere"/>
    <w:uiPriority w:val="99"/>
    <w:unhideWhenUsed/>
    <w:rsid w:val="003B09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449DC"/>
    <w:pPr>
      <w:ind w:left="720"/>
      <w:contextualSpacing/>
      <w:jc w:val="both"/>
    </w:pPr>
  </w:style>
  <w:style w:type="paragraph" w:styleId="NormaleWeb">
    <w:name w:val="Normal (Web)"/>
    <w:basedOn w:val="Normale"/>
    <w:uiPriority w:val="99"/>
    <w:semiHidden/>
    <w:unhideWhenUsed/>
    <w:rsid w:val="00CF49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4934"/>
  </w:style>
  <w:style w:type="paragraph" w:styleId="Testofumetto">
    <w:name w:val="Balloon Text"/>
    <w:basedOn w:val="Normale"/>
    <w:link w:val="TestofumettoCarattere"/>
    <w:uiPriority w:val="99"/>
    <w:semiHidden/>
    <w:unhideWhenUsed/>
    <w:rsid w:val="006915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2961</Words>
  <Characters>16879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26</cp:revision>
  <cp:lastPrinted>2015-09-11T08:05:00Z</cp:lastPrinted>
  <dcterms:created xsi:type="dcterms:W3CDTF">2015-05-14T17:32:00Z</dcterms:created>
  <dcterms:modified xsi:type="dcterms:W3CDTF">2015-09-11T09:14:00Z</dcterms:modified>
</cp:coreProperties>
</file>