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F4B" w:rsidRDefault="00E56F4B" w:rsidP="00E56F4B">
      <w:pPr>
        <w:spacing w:after="0" w:line="240" w:lineRule="auto"/>
        <w:jc w:val="center"/>
        <w:rPr>
          <w:b/>
          <w:sz w:val="28"/>
          <w:szCs w:val="28"/>
        </w:rPr>
      </w:pPr>
      <w:r>
        <w:rPr>
          <w:b/>
          <w:sz w:val="28"/>
          <w:szCs w:val="28"/>
        </w:rPr>
        <w:t>Programma 2</w:t>
      </w:r>
      <w:r w:rsidRPr="00E967B8">
        <w:rPr>
          <w:b/>
          <w:sz w:val="28"/>
          <w:szCs w:val="28"/>
        </w:rPr>
        <w:t xml:space="preserve"> “A scuola … di salute”</w:t>
      </w:r>
    </w:p>
    <w:p w:rsidR="00E56F4B" w:rsidRDefault="00E56F4B" w:rsidP="00E56F4B">
      <w:pPr>
        <w:spacing w:after="0" w:line="240" w:lineRule="auto"/>
        <w:jc w:val="center"/>
        <w:rPr>
          <w:b/>
          <w:sz w:val="36"/>
          <w:szCs w:val="28"/>
        </w:rPr>
      </w:pPr>
      <w:r w:rsidRPr="00EF73E9">
        <w:rPr>
          <w:b/>
          <w:sz w:val="36"/>
          <w:szCs w:val="28"/>
        </w:rPr>
        <w:t>Azione n.</w:t>
      </w:r>
      <w:r w:rsidR="00A4410E">
        <w:rPr>
          <w:b/>
          <w:sz w:val="36"/>
          <w:szCs w:val="28"/>
        </w:rPr>
        <w:t>9</w:t>
      </w:r>
    </w:p>
    <w:p w:rsidR="00A4410E" w:rsidRDefault="00A4410E" w:rsidP="00E56F4B">
      <w:pPr>
        <w:spacing w:after="0" w:line="240" w:lineRule="auto"/>
        <w:jc w:val="center"/>
        <w:rPr>
          <w:b/>
          <w:sz w:val="28"/>
          <w:szCs w:val="24"/>
        </w:rPr>
      </w:pPr>
      <w:r w:rsidRPr="00A4410E">
        <w:rPr>
          <w:b/>
          <w:sz w:val="28"/>
          <w:szCs w:val="24"/>
        </w:rPr>
        <w:t>SENSIBILIZZA</w:t>
      </w:r>
      <w:r>
        <w:rPr>
          <w:b/>
          <w:sz w:val="28"/>
          <w:szCs w:val="24"/>
        </w:rPr>
        <w:t xml:space="preserve">ZIONE </w:t>
      </w:r>
      <w:r w:rsidRPr="00A4410E">
        <w:rPr>
          <w:b/>
          <w:sz w:val="28"/>
          <w:szCs w:val="24"/>
        </w:rPr>
        <w:t xml:space="preserve">SUI RISCHI </w:t>
      </w:r>
    </w:p>
    <w:p w:rsidR="00E56F4B" w:rsidRDefault="00A4410E" w:rsidP="00E56F4B">
      <w:pPr>
        <w:spacing w:after="0" w:line="240" w:lineRule="auto"/>
        <w:jc w:val="center"/>
        <w:rPr>
          <w:b/>
          <w:sz w:val="28"/>
          <w:szCs w:val="24"/>
        </w:rPr>
      </w:pPr>
      <w:r>
        <w:rPr>
          <w:b/>
          <w:sz w:val="28"/>
          <w:szCs w:val="24"/>
        </w:rPr>
        <w:t>DELL</w:t>
      </w:r>
      <w:r w:rsidRPr="00A4410E">
        <w:rPr>
          <w:b/>
          <w:sz w:val="28"/>
          <w:szCs w:val="24"/>
        </w:rPr>
        <w:t>’ECCESSIVA ESPOSIZIONE A RADIAZIONI UV</w:t>
      </w:r>
    </w:p>
    <w:p w:rsidR="00A4410E" w:rsidRPr="009E1E19" w:rsidRDefault="00A4410E" w:rsidP="00E56F4B">
      <w:pPr>
        <w:spacing w:after="0" w:line="240" w:lineRule="auto"/>
        <w:jc w:val="center"/>
        <w:rPr>
          <w:b/>
          <w:sz w:val="28"/>
          <w:szCs w:val="28"/>
        </w:rPr>
      </w:pPr>
    </w:p>
    <w:tbl>
      <w:tblPr>
        <w:tblStyle w:val="Grigliatabella"/>
        <w:tblW w:w="0" w:type="auto"/>
        <w:tblLayout w:type="fixed"/>
        <w:tblLook w:val="04A0"/>
      </w:tblPr>
      <w:tblGrid>
        <w:gridCol w:w="9778"/>
      </w:tblGrid>
      <w:tr w:rsidR="000449DC" w:rsidRPr="000449DC" w:rsidTr="00D760E2">
        <w:tc>
          <w:tcPr>
            <w:tcW w:w="9778" w:type="dxa"/>
            <w:shd w:val="clear" w:color="auto" w:fill="D9D9D9" w:themeFill="background1" w:themeFillShade="D9"/>
          </w:tcPr>
          <w:p w:rsidR="000449DC" w:rsidRPr="0024457A" w:rsidRDefault="000449DC" w:rsidP="00E56F4B">
            <w:pPr>
              <w:rPr>
                <w:lang w:val="en-US"/>
              </w:rPr>
            </w:pPr>
            <w:r w:rsidRPr="0024457A">
              <w:rPr>
                <w:b/>
                <w:sz w:val="28"/>
                <w:szCs w:val="28"/>
              </w:rPr>
              <w:t>BREVE DESCRIZIONE</w:t>
            </w:r>
          </w:p>
        </w:tc>
      </w:tr>
      <w:tr w:rsidR="000449DC" w:rsidRPr="005C779C" w:rsidTr="00CD69B1">
        <w:trPr>
          <w:trHeight w:val="10448"/>
        </w:trPr>
        <w:tc>
          <w:tcPr>
            <w:tcW w:w="9778" w:type="dxa"/>
            <w:vAlign w:val="center"/>
          </w:tcPr>
          <w:p w:rsidR="00CD69B1" w:rsidRPr="00CD69B1" w:rsidRDefault="00CD69B1" w:rsidP="00CD69B1">
            <w:pPr>
              <w:pStyle w:val="a"/>
              <w:kinsoku w:val="0"/>
              <w:overflowPunct w:val="0"/>
              <w:ind w:left="113" w:right="346" w:firstLine="142"/>
              <w:jc w:val="both"/>
              <w:rPr>
                <w:rFonts w:asciiTheme="minorHAnsi" w:hAnsiTheme="minorHAnsi"/>
              </w:rPr>
            </w:pPr>
            <w:r w:rsidRPr="00CD69B1">
              <w:rPr>
                <w:rFonts w:asciiTheme="minorHAnsi" w:hAnsiTheme="minorHAnsi"/>
              </w:rPr>
              <w:t>Le radiazioni Ultraviolette, provenienti dal sole o irradiate da apparecchiature artificiali,  sono considerate, da parte della Agenzia internazionale per la ricerca sul cancro (IARC) affiliata alla  Organizzazione Mondiale della Sanità,  come la principale causa di tumori cutanei e di cataratta nell’ uomo.  I tumori indotti da tali radiazioni possono essere melanoma od epiteliomi (NMSC).</w:t>
            </w:r>
          </w:p>
          <w:p w:rsidR="00CD69B1" w:rsidRPr="00CD69B1" w:rsidRDefault="00CD69B1" w:rsidP="00CD69B1">
            <w:pPr>
              <w:pStyle w:val="a"/>
              <w:kinsoku w:val="0"/>
              <w:overflowPunct w:val="0"/>
              <w:ind w:left="113" w:right="346" w:firstLine="142"/>
              <w:jc w:val="both"/>
              <w:rPr>
                <w:rFonts w:asciiTheme="minorHAnsi" w:hAnsiTheme="minorHAnsi"/>
              </w:rPr>
            </w:pPr>
            <w:r w:rsidRPr="00CD69B1">
              <w:rPr>
                <w:rFonts w:asciiTheme="minorHAnsi" w:hAnsiTheme="minorHAnsi"/>
              </w:rPr>
              <w:t>Il melanoma rappresenta il tumore maligno che insorge a partire dai melanociti. Fra i fattori di rischio si annoverano : fototipo I-II (Occhi chiari, pelle chiara capelli biondi o rossicci), numero totale di nevi, eritemi solari intensi in età preadolescenziale, fattori genetici, anamnesi familiare  per melanoma,  anamnesi personale melanoma.</w:t>
            </w:r>
          </w:p>
          <w:p w:rsidR="00CD69B1" w:rsidRPr="00CD69B1" w:rsidRDefault="00CD69B1" w:rsidP="00CD69B1">
            <w:pPr>
              <w:pStyle w:val="a"/>
              <w:kinsoku w:val="0"/>
              <w:overflowPunct w:val="0"/>
              <w:ind w:left="113" w:right="346" w:firstLine="142"/>
              <w:jc w:val="both"/>
              <w:rPr>
                <w:rFonts w:asciiTheme="minorHAnsi" w:hAnsiTheme="minorHAnsi"/>
              </w:rPr>
            </w:pPr>
            <w:r w:rsidRPr="00CD69B1">
              <w:rPr>
                <w:rFonts w:asciiTheme="minorHAnsi" w:hAnsiTheme="minorHAnsi"/>
              </w:rPr>
              <w:t xml:space="preserve">Esistono dati molto robusti che dimostrano come l’esposizione a radiazioni ultraviolette e gli eritemi solari soprattutto in età preadolescenziale ed adolescenziale possano aumentare il rischio di sviluppare melanoma. Inoltre recenti metanalisi hanno dimostrato come l’effettuare esposizioni a radiazioni per motivi ricreazionali (lampade abbronzanti) aumenta del 75% se si inizia ad utilizzare tali lampade prima dei 30 anni.  (IARC Monographs 100D. </w:t>
            </w:r>
            <w:r w:rsidRPr="00CD69B1">
              <w:rPr>
                <w:rFonts w:asciiTheme="minorHAnsi" w:hAnsiTheme="minorHAnsi"/>
                <w:i/>
              </w:rPr>
              <w:t>Radiation a review of Human carginogens</w:t>
            </w:r>
            <w:r w:rsidRPr="00CD69B1">
              <w:rPr>
                <w:rFonts w:asciiTheme="minorHAnsi" w:hAnsiTheme="minorHAnsi"/>
              </w:rPr>
              <w:t xml:space="preserve">  ). </w:t>
            </w:r>
          </w:p>
          <w:p w:rsidR="00CD69B1" w:rsidRPr="00CD69B1" w:rsidRDefault="00CD69B1" w:rsidP="00CD69B1">
            <w:pPr>
              <w:pStyle w:val="a"/>
              <w:kinsoku w:val="0"/>
              <w:overflowPunct w:val="0"/>
              <w:ind w:left="113" w:right="346" w:firstLine="142"/>
              <w:jc w:val="both"/>
              <w:rPr>
                <w:rFonts w:asciiTheme="minorHAnsi" w:hAnsiTheme="minorHAnsi"/>
              </w:rPr>
            </w:pPr>
            <w:r w:rsidRPr="00CD69B1">
              <w:rPr>
                <w:rFonts w:asciiTheme="minorHAnsi" w:hAnsiTheme="minorHAnsi"/>
              </w:rPr>
              <w:t xml:space="preserve">Gli epiteliomi sono tumori cutanei  che insorgono a partire dai cheratinociti. </w:t>
            </w:r>
          </w:p>
          <w:p w:rsidR="00CD69B1" w:rsidRPr="00CD69B1" w:rsidRDefault="00CD69B1" w:rsidP="00CD69B1">
            <w:pPr>
              <w:pStyle w:val="a"/>
              <w:kinsoku w:val="0"/>
              <w:overflowPunct w:val="0"/>
              <w:ind w:left="113" w:right="346" w:firstLine="142"/>
              <w:jc w:val="both"/>
              <w:rPr>
                <w:rFonts w:asciiTheme="minorHAnsi" w:hAnsiTheme="minorHAnsi"/>
              </w:rPr>
            </w:pPr>
            <w:r w:rsidRPr="00CD69B1">
              <w:rPr>
                <w:rFonts w:asciiTheme="minorHAnsi" w:hAnsiTheme="minorHAnsi"/>
              </w:rPr>
              <w:t>Di tale gruppo di tumori fanno parte il carcinoma spinocellulare e il carcinoma basocellulare. Questi due tumori  rappresentano circa il 95 % della totalità dei tumori cutanei. Nonostante presentino una  bassa mortalità (tranne che per alcuni sottotipi istologici e per alcune localizzazioni )  questi tumori sono gravati da una discreta morbilità.</w:t>
            </w:r>
          </w:p>
          <w:p w:rsidR="00CD69B1" w:rsidRPr="00CD69B1" w:rsidRDefault="00CD69B1" w:rsidP="00CD69B1">
            <w:pPr>
              <w:pStyle w:val="a"/>
              <w:kinsoku w:val="0"/>
              <w:overflowPunct w:val="0"/>
              <w:ind w:left="113" w:right="346" w:firstLine="142"/>
              <w:jc w:val="both"/>
              <w:rPr>
                <w:rFonts w:asciiTheme="minorHAnsi" w:hAnsiTheme="minorHAnsi"/>
              </w:rPr>
            </w:pPr>
            <w:r w:rsidRPr="00CD69B1">
              <w:rPr>
                <w:rFonts w:asciiTheme="minorHAnsi" w:hAnsiTheme="minorHAnsi"/>
              </w:rPr>
              <w:t xml:space="preserve">L’esposizione solare sia continua (fotoinvecchiamento, sviluppo di cheratosi attiniche) che intermittente (scottature ripetute nel tempo) aumenta il rischio di sviluppare carcinoma squamocellulare. (IARC Monographs 100D. Radiation a review of Human carginogens  ). Aver subito  eritemi solari intensi aumenta il rischio di sviluppare un carcinoma squamocellulare  dal 40 fino al 400% a seconda degli studi presi in considerazione nell’ ultimo decennio.  (IARC Monographs 100D. Radiation a review of Human carginogens). Il rischio aumenta nei soggetti giovani se effettuano sessioni ricreazionali di esposizione a radiazioni ultraviolette artificiali prima dei 20 anni. </w:t>
            </w:r>
          </w:p>
          <w:p w:rsidR="00CD69B1" w:rsidRPr="00CD69B1" w:rsidRDefault="00CD69B1" w:rsidP="00CD69B1">
            <w:pPr>
              <w:pStyle w:val="a"/>
              <w:kinsoku w:val="0"/>
              <w:overflowPunct w:val="0"/>
              <w:ind w:left="113" w:right="346" w:firstLine="142"/>
              <w:jc w:val="both"/>
              <w:rPr>
                <w:rFonts w:asciiTheme="minorHAnsi" w:hAnsiTheme="minorHAnsi"/>
              </w:rPr>
            </w:pPr>
            <w:r w:rsidRPr="00CD69B1">
              <w:rPr>
                <w:rFonts w:asciiTheme="minorHAnsi" w:hAnsiTheme="minorHAnsi"/>
              </w:rPr>
              <w:t>Dati sull’ incidenza e prevalenza dei tumori cutanei nella regione Abruzzo sono derivati da stime desunte da registri tumori provinciali (AIRTUM 2014) e  da studi epidemiologici (Amerio P. et al Int J Dermatol 2009).</w:t>
            </w:r>
            <w:r w:rsidR="008E1BB3">
              <w:rPr>
                <w:rFonts w:asciiTheme="minorHAnsi" w:hAnsiTheme="minorHAnsi"/>
              </w:rPr>
              <w:t xml:space="preserve"> </w:t>
            </w:r>
            <w:r w:rsidRPr="00CD69B1">
              <w:rPr>
                <w:rFonts w:asciiTheme="minorHAnsi" w:hAnsiTheme="minorHAnsi"/>
              </w:rPr>
              <w:t xml:space="preserve">Lo studio epidemiologico di Amerio P et al ha permesso di stabilire che i casi incidenti di melanoma nella regione Abruzzo  nel quadriennio 2002-2005  sono variati da 114 a 152 casi. I dati dimostrano come il tasso di incidenza  in Abruzzo si possa avvicinare a 14.1 per 100,000 persone /anno. </w:t>
            </w:r>
          </w:p>
          <w:p w:rsidR="00CD69B1" w:rsidRPr="00CD69B1" w:rsidRDefault="00CD69B1" w:rsidP="00CD69B1">
            <w:pPr>
              <w:pStyle w:val="a"/>
              <w:kinsoku w:val="0"/>
              <w:overflowPunct w:val="0"/>
              <w:ind w:left="113" w:right="346" w:firstLine="142"/>
              <w:jc w:val="both"/>
              <w:rPr>
                <w:rFonts w:asciiTheme="minorHAnsi" w:hAnsiTheme="minorHAnsi"/>
              </w:rPr>
            </w:pPr>
            <w:r w:rsidRPr="00CD69B1">
              <w:rPr>
                <w:rFonts w:asciiTheme="minorHAnsi" w:hAnsiTheme="minorHAnsi"/>
              </w:rPr>
              <w:t xml:space="preserve">Uno studio del 2013 inoltre stimava, attraverso un analisi statistica utilizzando i valori di mortalità (Foschi R et al Tumori 2013; 99: 366-373) che l’incidenza del melanoma in Abruzzo e Molise fosse per il 2015 di  17/100000 ab nell’uomo e di 10 /100000 ab nella donna. </w:t>
            </w:r>
          </w:p>
          <w:p w:rsidR="00CD69B1" w:rsidRPr="00CD69B1" w:rsidRDefault="00CD69B1" w:rsidP="008E1BB3">
            <w:pPr>
              <w:pStyle w:val="a"/>
              <w:kinsoku w:val="0"/>
              <w:overflowPunct w:val="0"/>
              <w:ind w:left="113" w:right="346" w:firstLine="142"/>
              <w:jc w:val="both"/>
            </w:pPr>
            <w:r w:rsidRPr="00CD69B1">
              <w:rPr>
                <w:rFonts w:asciiTheme="minorHAnsi" w:hAnsiTheme="minorHAnsi"/>
              </w:rPr>
              <w:t>Dati riguardo i tumori cutanei non melanomi non sono invece disponibili per la regione Abruzzo</w:t>
            </w:r>
          </w:p>
        </w:tc>
      </w:tr>
    </w:tbl>
    <w:p w:rsidR="008E1BB3" w:rsidRDefault="008E1BB3">
      <w:pPr>
        <w:rPr>
          <w:b/>
          <w:sz w:val="28"/>
          <w:szCs w:val="28"/>
        </w:rPr>
        <w:sectPr w:rsidR="008E1BB3" w:rsidSect="008E1BB3">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64"/>
          <w:cols w:space="708"/>
          <w:docGrid w:linePitch="360"/>
        </w:sectPr>
      </w:pPr>
    </w:p>
    <w:tbl>
      <w:tblPr>
        <w:tblStyle w:val="Grigliatabella"/>
        <w:tblW w:w="0" w:type="auto"/>
        <w:tblLayout w:type="fixed"/>
        <w:tblLook w:val="04A0"/>
      </w:tblPr>
      <w:tblGrid>
        <w:gridCol w:w="9778"/>
      </w:tblGrid>
      <w:tr w:rsidR="000449DC" w:rsidRPr="000449DC" w:rsidTr="00D760E2">
        <w:tc>
          <w:tcPr>
            <w:tcW w:w="9778" w:type="dxa"/>
            <w:shd w:val="clear" w:color="auto" w:fill="D9D9D9" w:themeFill="background1" w:themeFillShade="D9"/>
          </w:tcPr>
          <w:p w:rsidR="000449DC" w:rsidRPr="000449DC" w:rsidRDefault="000449DC">
            <w:pPr>
              <w:rPr>
                <w:lang w:val="en-US"/>
              </w:rPr>
            </w:pPr>
            <w:r w:rsidRPr="00405B8D">
              <w:rPr>
                <w:b/>
                <w:sz w:val="28"/>
                <w:szCs w:val="28"/>
              </w:rPr>
              <w:lastRenderedPageBreak/>
              <w:t>EVIDENZE DI EFFICACIA</w:t>
            </w:r>
            <w:r w:rsidRPr="00C14EB9">
              <w:rPr>
                <w:sz w:val="28"/>
                <w:szCs w:val="28"/>
              </w:rPr>
              <w:t xml:space="preserve"> </w:t>
            </w:r>
            <w:r w:rsidRPr="00C14EB9">
              <w:rPr>
                <w:rFonts w:ascii="Arial" w:hAnsi="Arial" w:cs="Arial"/>
                <w:sz w:val="27"/>
                <w:szCs w:val="27"/>
              </w:rPr>
              <w:t xml:space="preserve"> </w:t>
            </w:r>
          </w:p>
        </w:tc>
      </w:tr>
      <w:tr w:rsidR="000449DC" w:rsidRPr="00160152" w:rsidTr="00CD69B1">
        <w:trPr>
          <w:trHeight w:val="3322"/>
        </w:trPr>
        <w:tc>
          <w:tcPr>
            <w:tcW w:w="9778" w:type="dxa"/>
            <w:vAlign w:val="center"/>
          </w:tcPr>
          <w:p w:rsidR="00CD69B1" w:rsidRPr="00CD69B1" w:rsidRDefault="00CD69B1" w:rsidP="00CD69B1">
            <w:pPr>
              <w:widowControl w:val="0"/>
              <w:kinsoku w:val="0"/>
              <w:overflowPunct w:val="0"/>
              <w:autoSpaceDE w:val="0"/>
              <w:autoSpaceDN w:val="0"/>
              <w:adjustRightInd w:val="0"/>
              <w:spacing w:before="2" w:line="254" w:lineRule="exact"/>
              <w:ind w:left="113" w:right="348" w:firstLine="142"/>
              <w:jc w:val="both"/>
              <w:rPr>
                <w:rFonts w:cs="Times New Roman"/>
                <w:sz w:val="24"/>
                <w:szCs w:val="24"/>
              </w:rPr>
            </w:pPr>
            <w:r w:rsidRPr="00CD69B1">
              <w:rPr>
                <w:rFonts w:cs="Times New Roman"/>
                <w:sz w:val="24"/>
                <w:szCs w:val="24"/>
              </w:rPr>
              <w:t xml:space="preserve">In Abruzzo le campagne di sensibilizzazione nei riguardi dei tumori cutanei  sono state svolte sempre in maniera sporadica e frammentaria e per lo più per volontà di singoli attori o enti. </w:t>
            </w:r>
          </w:p>
          <w:p w:rsidR="00CD69B1" w:rsidRPr="00CD69B1" w:rsidRDefault="00CD69B1" w:rsidP="00CD69B1">
            <w:pPr>
              <w:widowControl w:val="0"/>
              <w:kinsoku w:val="0"/>
              <w:overflowPunct w:val="0"/>
              <w:autoSpaceDE w:val="0"/>
              <w:autoSpaceDN w:val="0"/>
              <w:adjustRightInd w:val="0"/>
              <w:spacing w:before="2" w:line="254" w:lineRule="exact"/>
              <w:ind w:left="113" w:right="348" w:firstLine="142"/>
              <w:jc w:val="both"/>
              <w:rPr>
                <w:rFonts w:cs="Times New Roman"/>
                <w:sz w:val="24"/>
                <w:szCs w:val="24"/>
              </w:rPr>
            </w:pPr>
            <w:r w:rsidRPr="00CD69B1">
              <w:rPr>
                <w:rFonts w:cs="Times New Roman"/>
                <w:sz w:val="24"/>
                <w:szCs w:val="24"/>
              </w:rPr>
              <w:t xml:space="preserve">Un recente studio ha permesso di stabilire che la popolazione abruzzese  riconosce che il melanoma possa essere un tumore che insorge da un nevo modificato.  </w:t>
            </w:r>
          </w:p>
          <w:p w:rsidR="00CD69B1" w:rsidRPr="00CD69B1" w:rsidRDefault="00CD69B1" w:rsidP="00CD69B1">
            <w:pPr>
              <w:widowControl w:val="0"/>
              <w:kinsoku w:val="0"/>
              <w:overflowPunct w:val="0"/>
              <w:autoSpaceDE w:val="0"/>
              <w:autoSpaceDN w:val="0"/>
              <w:adjustRightInd w:val="0"/>
              <w:spacing w:before="2" w:line="254" w:lineRule="exact"/>
              <w:ind w:left="113" w:right="348" w:firstLine="142"/>
              <w:jc w:val="both"/>
              <w:rPr>
                <w:rFonts w:cs="Times New Roman"/>
                <w:sz w:val="24"/>
                <w:szCs w:val="24"/>
              </w:rPr>
            </w:pPr>
            <w:r w:rsidRPr="00CD69B1">
              <w:rPr>
                <w:rFonts w:cs="Times New Roman"/>
                <w:sz w:val="24"/>
                <w:szCs w:val="24"/>
              </w:rPr>
              <w:t xml:space="preserve">Tuttavia la conoscenza dei fattori di rischio di tale tumore è alquanto frammentaria nella popolazione solo il 50 %  riconosce il valore dell’ esposizione solare quale fattore di rischio principale .  Inoltre le azioni conseguenti volte a minimizzare il rischio sono alquanto limitate e non attuate con costanza. </w:t>
            </w:r>
          </w:p>
          <w:p w:rsidR="0039237B" w:rsidRPr="0024457A" w:rsidRDefault="00CD69B1" w:rsidP="00CD69B1">
            <w:pPr>
              <w:widowControl w:val="0"/>
              <w:kinsoku w:val="0"/>
              <w:overflowPunct w:val="0"/>
              <w:autoSpaceDE w:val="0"/>
              <w:autoSpaceDN w:val="0"/>
              <w:adjustRightInd w:val="0"/>
              <w:spacing w:before="2" w:line="254" w:lineRule="exact"/>
              <w:ind w:left="113" w:right="348" w:firstLine="142"/>
              <w:jc w:val="both"/>
              <w:rPr>
                <w:rFonts w:cstheme="minorHAnsi"/>
              </w:rPr>
            </w:pPr>
            <w:r w:rsidRPr="00CD69B1">
              <w:rPr>
                <w:rFonts w:cs="Times New Roman"/>
                <w:sz w:val="24"/>
                <w:szCs w:val="24"/>
              </w:rPr>
              <w:t>Il presente progetto si inserisce  nella prospettiva della prevenzione poichè è proprio nella età preadolescenzale ed adolescenziale che il danno delle radiazioni ultraviolette si esplica principalmente.</w:t>
            </w:r>
          </w:p>
        </w:tc>
      </w:tr>
      <w:tr w:rsidR="000449DC" w:rsidRPr="000449DC" w:rsidTr="00D760E2">
        <w:tc>
          <w:tcPr>
            <w:tcW w:w="9778" w:type="dxa"/>
            <w:shd w:val="clear" w:color="auto" w:fill="D9D9D9" w:themeFill="background1" w:themeFillShade="D9"/>
          </w:tcPr>
          <w:p w:rsidR="000449DC" w:rsidRPr="000449DC" w:rsidRDefault="000449DC" w:rsidP="000449DC">
            <w:pPr>
              <w:rPr>
                <w:lang w:val="en-US"/>
              </w:rPr>
            </w:pPr>
            <w:r w:rsidRPr="000449DC">
              <w:rPr>
                <w:b/>
                <w:sz w:val="28"/>
                <w:szCs w:val="28"/>
              </w:rPr>
              <w:t>EVIDENZA DI SOSTENIBILIT</w:t>
            </w:r>
            <w:r w:rsidR="009B3865">
              <w:rPr>
                <w:b/>
                <w:sz w:val="28"/>
                <w:szCs w:val="28"/>
              </w:rPr>
              <w:t>À</w:t>
            </w:r>
          </w:p>
        </w:tc>
      </w:tr>
      <w:tr w:rsidR="000449DC" w:rsidRPr="005C779C" w:rsidTr="00CD69B1">
        <w:trPr>
          <w:trHeight w:val="1346"/>
        </w:trPr>
        <w:tc>
          <w:tcPr>
            <w:tcW w:w="9778" w:type="dxa"/>
            <w:vAlign w:val="center"/>
          </w:tcPr>
          <w:p w:rsidR="0039237B" w:rsidRPr="0024457A" w:rsidRDefault="00CD69B1" w:rsidP="00CD69B1">
            <w:pPr>
              <w:widowControl w:val="0"/>
              <w:kinsoku w:val="0"/>
              <w:overflowPunct w:val="0"/>
              <w:autoSpaceDE w:val="0"/>
              <w:autoSpaceDN w:val="0"/>
              <w:adjustRightInd w:val="0"/>
              <w:spacing w:before="2" w:line="254" w:lineRule="exact"/>
              <w:ind w:left="113" w:right="348" w:firstLine="142"/>
              <w:jc w:val="both"/>
              <w:rPr>
                <w:rFonts w:cstheme="minorHAnsi"/>
              </w:rPr>
            </w:pPr>
            <w:r w:rsidRPr="00CD69B1">
              <w:rPr>
                <w:rFonts w:cs="Times New Roman"/>
                <w:sz w:val="24"/>
                <w:szCs w:val="24"/>
              </w:rPr>
              <w:t>Il progetto mira ad aumentare la consapevolezza delle azioni nocive  delle radiazioni ultraviolette nella popolazione pediatrica ed adolescente  con il supporto dei docenti scolatici, per ridurre il rischio di sviluppo di carcinomi cutanei e di melanomi legati a tale esposizione. La formazione degli insegnanti rende negli anni l’intervento di sistema.</w:t>
            </w:r>
          </w:p>
        </w:tc>
      </w:tr>
      <w:tr w:rsidR="000449DC" w:rsidRPr="000449DC" w:rsidTr="00D760E2">
        <w:tc>
          <w:tcPr>
            <w:tcW w:w="9778" w:type="dxa"/>
            <w:shd w:val="clear" w:color="auto" w:fill="D9D9D9" w:themeFill="background1" w:themeFillShade="D9"/>
          </w:tcPr>
          <w:p w:rsidR="000449DC" w:rsidRPr="000449DC" w:rsidRDefault="000449DC" w:rsidP="00D94A77">
            <w:pPr>
              <w:tabs>
                <w:tab w:val="left" w:pos="3864"/>
              </w:tabs>
              <w:rPr>
                <w:lang w:val="en-US"/>
              </w:rPr>
            </w:pPr>
            <w:r w:rsidRPr="000449DC">
              <w:rPr>
                <w:b/>
                <w:sz w:val="28"/>
                <w:szCs w:val="28"/>
              </w:rPr>
              <w:t>SISTEMA DI SORVEGLIANZA</w:t>
            </w:r>
          </w:p>
        </w:tc>
      </w:tr>
      <w:tr w:rsidR="000449DC" w:rsidRPr="000449DC" w:rsidTr="001125EF">
        <w:trPr>
          <w:trHeight w:val="903"/>
        </w:trPr>
        <w:tc>
          <w:tcPr>
            <w:tcW w:w="9778" w:type="dxa"/>
            <w:vAlign w:val="center"/>
          </w:tcPr>
          <w:p w:rsidR="0039237B" w:rsidRPr="00D760E2" w:rsidRDefault="00D94A77" w:rsidP="00D94A77">
            <w:pPr>
              <w:widowControl w:val="0"/>
              <w:kinsoku w:val="0"/>
              <w:overflowPunct w:val="0"/>
              <w:autoSpaceDE w:val="0"/>
              <w:autoSpaceDN w:val="0"/>
              <w:adjustRightInd w:val="0"/>
              <w:spacing w:before="2" w:line="254" w:lineRule="exact"/>
              <w:ind w:left="113" w:right="348" w:firstLine="142"/>
              <w:jc w:val="both"/>
              <w:rPr>
                <w:sz w:val="24"/>
              </w:rPr>
            </w:pPr>
            <w:r w:rsidRPr="00D94A77">
              <w:rPr>
                <w:rFonts w:cs="Times New Roman"/>
                <w:sz w:val="24"/>
                <w:szCs w:val="24"/>
              </w:rPr>
              <w:t>Con cadenza annuale si procederà alla redazione di un  rapporto sintetico sulle attività svolte e sullo stato di avanzamento del progetto.</w:t>
            </w:r>
          </w:p>
        </w:tc>
      </w:tr>
      <w:tr w:rsidR="006E2488" w:rsidRPr="000449DC" w:rsidTr="00D760E2">
        <w:tc>
          <w:tcPr>
            <w:tcW w:w="9778" w:type="dxa"/>
            <w:shd w:val="clear" w:color="auto" w:fill="D9D9D9" w:themeFill="background1" w:themeFillShade="D9"/>
          </w:tcPr>
          <w:p w:rsidR="006E2488" w:rsidRPr="006E2488" w:rsidRDefault="006E2488" w:rsidP="006E2488">
            <w:pPr>
              <w:rPr>
                <w:sz w:val="24"/>
                <w:szCs w:val="24"/>
              </w:rPr>
            </w:pPr>
            <w:r w:rsidRPr="006E2488">
              <w:rPr>
                <w:b/>
                <w:sz w:val="28"/>
                <w:szCs w:val="28"/>
              </w:rPr>
              <w:t>CONTRASTO ALLE DISEGUAGLIANZE</w:t>
            </w:r>
          </w:p>
        </w:tc>
      </w:tr>
      <w:tr w:rsidR="006E2488" w:rsidRPr="000449DC" w:rsidTr="001125EF">
        <w:trPr>
          <w:trHeight w:val="508"/>
        </w:trPr>
        <w:tc>
          <w:tcPr>
            <w:tcW w:w="9778" w:type="dxa"/>
            <w:vAlign w:val="center"/>
          </w:tcPr>
          <w:p w:rsidR="002B068F" w:rsidRPr="002B068F" w:rsidRDefault="008E1BB3" w:rsidP="008E1BB3">
            <w:pPr>
              <w:widowControl w:val="0"/>
              <w:kinsoku w:val="0"/>
              <w:overflowPunct w:val="0"/>
              <w:autoSpaceDE w:val="0"/>
              <w:autoSpaceDN w:val="0"/>
              <w:adjustRightInd w:val="0"/>
              <w:ind w:left="113" w:right="116" w:firstLine="142"/>
              <w:jc w:val="both"/>
              <w:rPr>
                <w:sz w:val="24"/>
                <w:szCs w:val="24"/>
              </w:rPr>
            </w:pPr>
            <w:r>
              <w:rPr>
                <w:sz w:val="24"/>
                <w:szCs w:val="24"/>
              </w:rPr>
              <w:t>L’intervento sarà offerto universalmente a scuole che vorranno aderire.</w:t>
            </w:r>
          </w:p>
        </w:tc>
      </w:tr>
      <w:tr w:rsidR="000449DC" w:rsidRPr="000449DC" w:rsidTr="00D760E2">
        <w:tc>
          <w:tcPr>
            <w:tcW w:w="9778" w:type="dxa"/>
            <w:shd w:val="clear" w:color="auto" w:fill="D9D9D9" w:themeFill="background1" w:themeFillShade="D9"/>
          </w:tcPr>
          <w:p w:rsidR="000449DC" w:rsidRPr="000449DC" w:rsidRDefault="000449DC" w:rsidP="000449DC">
            <w:pPr>
              <w:rPr>
                <w:lang w:val="en-US"/>
              </w:rPr>
            </w:pPr>
            <w:r w:rsidRPr="000449DC">
              <w:rPr>
                <w:b/>
                <w:sz w:val="28"/>
                <w:szCs w:val="28"/>
              </w:rPr>
              <w:t>OBIETTIVO SPECIFIC</w:t>
            </w:r>
            <w:r w:rsidRPr="000903B7">
              <w:rPr>
                <w:b/>
                <w:sz w:val="28"/>
                <w:szCs w:val="28"/>
              </w:rPr>
              <w:t>O</w:t>
            </w:r>
            <w:r w:rsidR="000903B7" w:rsidRPr="000903B7">
              <w:rPr>
                <w:b/>
                <w:sz w:val="28"/>
                <w:szCs w:val="28"/>
              </w:rPr>
              <w:t xml:space="preserve"> e sue articolazioni</w:t>
            </w:r>
          </w:p>
        </w:tc>
      </w:tr>
      <w:tr w:rsidR="000449DC" w:rsidRPr="000449DC" w:rsidTr="001125EF">
        <w:trPr>
          <w:trHeight w:val="1614"/>
        </w:trPr>
        <w:tc>
          <w:tcPr>
            <w:tcW w:w="9778" w:type="dxa"/>
            <w:vAlign w:val="center"/>
          </w:tcPr>
          <w:p w:rsidR="000903B7" w:rsidRDefault="000903B7" w:rsidP="000903B7">
            <w:pPr>
              <w:widowControl w:val="0"/>
              <w:kinsoku w:val="0"/>
              <w:overflowPunct w:val="0"/>
              <w:autoSpaceDE w:val="0"/>
              <w:autoSpaceDN w:val="0"/>
              <w:adjustRightInd w:val="0"/>
              <w:ind w:left="113" w:right="116"/>
              <w:jc w:val="both"/>
              <w:rPr>
                <w:sz w:val="24"/>
                <w:szCs w:val="24"/>
              </w:rPr>
            </w:pPr>
            <w:r w:rsidRPr="000903B7">
              <w:rPr>
                <w:b/>
                <w:sz w:val="24"/>
                <w:szCs w:val="24"/>
              </w:rPr>
              <w:t>AB.2.15. -</w:t>
            </w:r>
            <w:r>
              <w:rPr>
                <w:sz w:val="24"/>
                <w:szCs w:val="24"/>
              </w:rPr>
              <w:t xml:space="preserve"> </w:t>
            </w:r>
            <w:r w:rsidRPr="000903B7">
              <w:rPr>
                <w:sz w:val="24"/>
                <w:szCs w:val="24"/>
              </w:rPr>
              <w:t>Aumentare le conoscenze e le competenze presso la popolazione in età evolutiva (giovani e giovanissimi) sui danni indotti dall'esposizione ricreazionale (naturale e artificiale) ai raggi UV</w:t>
            </w:r>
          </w:p>
          <w:p w:rsidR="000449DC" w:rsidRPr="000449DC" w:rsidRDefault="000903B7" w:rsidP="000903B7">
            <w:pPr>
              <w:widowControl w:val="0"/>
              <w:kinsoku w:val="0"/>
              <w:overflowPunct w:val="0"/>
              <w:autoSpaceDE w:val="0"/>
              <w:autoSpaceDN w:val="0"/>
              <w:adjustRightInd w:val="0"/>
              <w:ind w:left="113" w:right="116"/>
              <w:jc w:val="both"/>
            </w:pPr>
            <w:r w:rsidRPr="000903B7">
              <w:rPr>
                <w:szCs w:val="24"/>
              </w:rPr>
              <w:t xml:space="preserve">Tale obiettivo sarà perseguito attraverso il supporto </w:t>
            </w:r>
            <w:r w:rsidR="00D94A77" w:rsidRPr="000903B7">
              <w:rPr>
                <w:szCs w:val="24"/>
              </w:rPr>
              <w:t>degli insegnanti</w:t>
            </w:r>
            <w:r w:rsidRPr="000903B7">
              <w:rPr>
                <w:szCs w:val="24"/>
              </w:rPr>
              <w:t xml:space="preserve"> di </w:t>
            </w:r>
            <w:r w:rsidR="00D94A77" w:rsidRPr="000903B7">
              <w:rPr>
                <w:szCs w:val="24"/>
              </w:rPr>
              <w:t>scuola secondaria di primo grado e dei genitori rappresentanti di classe</w:t>
            </w:r>
            <w:r w:rsidRPr="000903B7">
              <w:rPr>
                <w:szCs w:val="24"/>
              </w:rPr>
              <w:t xml:space="preserve"> che saranno formati allo scopo.</w:t>
            </w:r>
          </w:p>
        </w:tc>
      </w:tr>
      <w:tr w:rsidR="000449DC" w:rsidRPr="000449DC" w:rsidTr="00D760E2">
        <w:tc>
          <w:tcPr>
            <w:tcW w:w="9778" w:type="dxa"/>
            <w:shd w:val="clear" w:color="auto" w:fill="D9D9D9" w:themeFill="background1" w:themeFillShade="D9"/>
          </w:tcPr>
          <w:p w:rsidR="000449DC" w:rsidRPr="000449DC" w:rsidRDefault="000449DC">
            <w:r w:rsidRPr="00273D08">
              <w:rPr>
                <w:b/>
                <w:sz w:val="28"/>
                <w:szCs w:val="28"/>
              </w:rPr>
              <w:t>TARGET</w:t>
            </w:r>
          </w:p>
        </w:tc>
      </w:tr>
      <w:tr w:rsidR="000449DC" w:rsidRPr="000449DC" w:rsidTr="00D760E2">
        <w:trPr>
          <w:trHeight w:val="506"/>
        </w:trPr>
        <w:tc>
          <w:tcPr>
            <w:tcW w:w="9778" w:type="dxa"/>
            <w:vAlign w:val="center"/>
          </w:tcPr>
          <w:p w:rsidR="002B068F" w:rsidRPr="00673B1A" w:rsidRDefault="00673B1A" w:rsidP="00673B1A">
            <w:pPr>
              <w:widowControl w:val="0"/>
              <w:kinsoku w:val="0"/>
              <w:overflowPunct w:val="0"/>
              <w:autoSpaceDE w:val="0"/>
              <w:autoSpaceDN w:val="0"/>
              <w:adjustRightInd w:val="0"/>
              <w:ind w:left="113" w:right="116" w:firstLine="142"/>
              <w:jc w:val="both"/>
              <w:rPr>
                <w:sz w:val="24"/>
                <w:szCs w:val="24"/>
              </w:rPr>
            </w:pPr>
            <w:r>
              <w:rPr>
                <w:sz w:val="24"/>
                <w:szCs w:val="24"/>
              </w:rPr>
              <w:t>I</w:t>
            </w:r>
            <w:r w:rsidRPr="00673B1A">
              <w:rPr>
                <w:sz w:val="24"/>
                <w:szCs w:val="24"/>
              </w:rPr>
              <w:t>nsegnanti della scuola secondaria di primo grado e genitor</w:t>
            </w:r>
            <w:r>
              <w:rPr>
                <w:sz w:val="24"/>
                <w:szCs w:val="24"/>
              </w:rPr>
              <w:t>i</w:t>
            </w:r>
            <w:r w:rsidRPr="00673B1A">
              <w:rPr>
                <w:sz w:val="24"/>
                <w:szCs w:val="24"/>
              </w:rPr>
              <w:t xml:space="preserve"> rappresentanti di classe</w:t>
            </w:r>
          </w:p>
        </w:tc>
      </w:tr>
      <w:tr w:rsidR="000449DC" w:rsidRPr="000449DC" w:rsidTr="00D760E2">
        <w:tc>
          <w:tcPr>
            <w:tcW w:w="9778" w:type="dxa"/>
            <w:shd w:val="clear" w:color="auto" w:fill="D9D9D9" w:themeFill="background1" w:themeFillShade="D9"/>
          </w:tcPr>
          <w:p w:rsidR="000449DC" w:rsidRPr="004078D6" w:rsidRDefault="000449DC">
            <w:pPr>
              <w:rPr>
                <w:rFonts w:cstheme="minorHAnsi"/>
              </w:rPr>
            </w:pPr>
            <w:r w:rsidRPr="004078D6">
              <w:rPr>
                <w:rFonts w:cstheme="minorHAnsi"/>
                <w:b/>
                <w:sz w:val="28"/>
                <w:szCs w:val="28"/>
              </w:rPr>
              <w:t>SETTING</w:t>
            </w:r>
          </w:p>
        </w:tc>
      </w:tr>
      <w:tr w:rsidR="000449DC" w:rsidRPr="000449DC" w:rsidTr="00673B1A">
        <w:trPr>
          <w:trHeight w:val="486"/>
        </w:trPr>
        <w:tc>
          <w:tcPr>
            <w:tcW w:w="9778" w:type="dxa"/>
            <w:vAlign w:val="center"/>
          </w:tcPr>
          <w:p w:rsidR="002B068F" w:rsidRPr="000449DC" w:rsidRDefault="00673B1A" w:rsidP="00673B1A">
            <w:pPr>
              <w:widowControl w:val="0"/>
              <w:kinsoku w:val="0"/>
              <w:overflowPunct w:val="0"/>
              <w:autoSpaceDE w:val="0"/>
              <w:autoSpaceDN w:val="0"/>
              <w:adjustRightInd w:val="0"/>
              <w:ind w:left="113" w:right="116" w:firstLine="142"/>
              <w:jc w:val="both"/>
            </w:pPr>
            <w:r w:rsidRPr="00673B1A">
              <w:rPr>
                <w:sz w:val="24"/>
                <w:szCs w:val="24"/>
              </w:rPr>
              <w:t>Scuola</w:t>
            </w:r>
          </w:p>
        </w:tc>
      </w:tr>
      <w:tr w:rsidR="000449DC" w:rsidRPr="000449DC" w:rsidTr="00D760E2">
        <w:tc>
          <w:tcPr>
            <w:tcW w:w="9778" w:type="dxa"/>
            <w:shd w:val="clear" w:color="auto" w:fill="D9D9D9" w:themeFill="background1" w:themeFillShade="D9"/>
          </w:tcPr>
          <w:p w:rsidR="000449DC" w:rsidRPr="000449DC" w:rsidRDefault="000449DC">
            <w:r w:rsidRPr="00273D08">
              <w:rPr>
                <w:b/>
                <w:sz w:val="28"/>
                <w:szCs w:val="28"/>
              </w:rPr>
              <w:t>INTERSETTORIALIT</w:t>
            </w:r>
            <w:r w:rsidR="00D760E2">
              <w:rPr>
                <w:b/>
                <w:sz w:val="28"/>
                <w:szCs w:val="28"/>
              </w:rPr>
              <w:t>À</w:t>
            </w:r>
          </w:p>
        </w:tc>
      </w:tr>
      <w:tr w:rsidR="000449DC" w:rsidRPr="000449DC" w:rsidTr="00673B1A">
        <w:trPr>
          <w:trHeight w:val="625"/>
        </w:trPr>
        <w:tc>
          <w:tcPr>
            <w:tcW w:w="9778" w:type="dxa"/>
            <w:vAlign w:val="center"/>
          </w:tcPr>
          <w:p w:rsidR="000449DC" w:rsidRPr="00273D08" w:rsidRDefault="00B94884" w:rsidP="00B94884">
            <w:pPr>
              <w:widowControl w:val="0"/>
              <w:kinsoku w:val="0"/>
              <w:overflowPunct w:val="0"/>
              <w:autoSpaceDE w:val="0"/>
              <w:autoSpaceDN w:val="0"/>
              <w:adjustRightInd w:val="0"/>
              <w:ind w:left="113" w:right="116" w:firstLine="142"/>
              <w:jc w:val="both"/>
              <w:rPr>
                <w:b/>
                <w:sz w:val="28"/>
                <w:szCs w:val="28"/>
              </w:rPr>
            </w:pPr>
            <w:r>
              <w:rPr>
                <w:sz w:val="24"/>
                <w:szCs w:val="24"/>
              </w:rPr>
              <w:t>Istituzioni</w:t>
            </w:r>
            <w:r w:rsidR="00673B1A" w:rsidRPr="00673B1A">
              <w:rPr>
                <w:sz w:val="24"/>
                <w:szCs w:val="24"/>
              </w:rPr>
              <w:t xml:space="preserve"> scolastiche e </w:t>
            </w:r>
            <w:r>
              <w:rPr>
                <w:sz w:val="24"/>
                <w:szCs w:val="24"/>
              </w:rPr>
              <w:t xml:space="preserve">servizio </w:t>
            </w:r>
            <w:r w:rsidR="00673B1A" w:rsidRPr="00673B1A">
              <w:rPr>
                <w:sz w:val="24"/>
                <w:szCs w:val="24"/>
              </w:rPr>
              <w:t>sanitari</w:t>
            </w:r>
            <w:r>
              <w:rPr>
                <w:sz w:val="24"/>
                <w:szCs w:val="24"/>
              </w:rPr>
              <w:t>o</w:t>
            </w:r>
          </w:p>
        </w:tc>
      </w:tr>
    </w:tbl>
    <w:p w:rsidR="00937F39" w:rsidRDefault="00937F39"/>
    <w:p w:rsidR="00937F39" w:rsidRDefault="00937F39">
      <w:r>
        <w:br w:type="page"/>
      </w:r>
    </w:p>
    <w:tbl>
      <w:tblPr>
        <w:tblStyle w:val="Grigliatabella"/>
        <w:tblW w:w="0" w:type="auto"/>
        <w:tblLayout w:type="fixed"/>
        <w:tblLook w:val="04A0"/>
      </w:tblPr>
      <w:tblGrid>
        <w:gridCol w:w="9778"/>
      </w:tblGrid>
      <w:tr w:rsidR="000449DC" w:rsidRPr="000449DC" w:rsidTr="00D760E2">
        <w:tc>
          <w:tcPr>
            <w:tcW w:w="9778" w:type="dxa"/>
            <w:shd w:val="clear" w:color="auto" w:fill="D9D9D9" w:themeFill="background1" w:themeFillShade="D9"/>
          </w:tcPr>
          <w:p w:rsidR="000449DC" w:rsidRPr="00273D08" w:rsidRDefault="000449DC" w:rsidP="00D1652F">
            <w:pPr>
              <w:rPr>
                <w:b/>
                <w:sz w:val="28"/>
                <w:szCs w:val="28"/>
              </w:rPr>
            </w:pPr>
            <w:r w:rsidRPr="000449DC">
              <w:rPr>
                <w:b/>
                <w:sz w:val="28"/>
                <w:szCs w:val="28"/>
              </w:rPr>
              <w:lastRenderedPageBreak/>
              <w:t xml:space="preserve">INDICATORI </w:t>
            </w:r>
          </w:p>
        </w:tc>
      </w:tr>
      <w:tr w:rsidR="000449DC" w:rsidRPr="000449DC" w:rsidTr="00937F39">
        <w:trPr>
          <w:trHeight w:val="2613"/>
        </w:trPr>
        <w:tc>
          <w:tcPr>
            <w:tcW w:w="9778" w:type="dxa"/>
          </w:tcPr>
          <w:tbl>
            <w:tblPr>
              <w:tblpPr w:leftFromText="141" w:rightFromText="141" w:vertAnchor="text" w:horzAnchor="margin" w:tblpXSpec="center" w:tblpY="2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89"/>
              <w:gridCol w:w="1275"/>
              <w:gridCol w:w="993"/>
              <w:gridCol w:w="1075"/>
              <w:gridCol w:w="1134"/>
            </w:tblGrid>
            <w:tr w:rsidR="00937F39" w:rsidRPr="00937F39" w:rsidTr="00937F39">
              <w:trPr>
                <w:trHeight w:val="694"/>
              </w:trPr>
              <w:tc>
                <w:tcPr>
                  <w:tcW w:w="4089" w:type="dxa"/>
                  <w:tcBorders>
                    <w:left w:val="single" w:sz="4" w:space="0" w:color="auto"/>
                    <w:bottom w:val="single" w:sz="4" w:space="0" w:color="auto"/>
                    <w:right w:val="single" w:sz="4" w:space="0" w:color="auto"/>
                  </w:tcBorders>
                  <w:vAlign w:val="center"/>
                </w:tcPr>
                <w:p w:rsidR="00937F39" w:rsidRPr="00937F39" w:rsidRDefault="00937F39" w:rsidP="00937F39">
                  <w:pPr>
                    <w:pStyle w:val="Default"/>
                    <w:rPr>
                      <w:rFonts w:asciiTheme="minorHAnsi" w:hAnsiTheme="minorHAnsi" w:cs="Times New Roman"/>
                      <w:b/>
                      <w:color w:val="auto"/>
                    </w:rPr>
                  </w:pPr>
                  <w:r w:rsidRPr="00937F39">
                    <w:rPr>
                      <w:rFonts w:asciiTheme="minorHAnsi" w:hAnsiTheme="minorHAnsi" w:cs="Times New Roman"/>
                      <w:b/>
                      <w:color w:val="auto"/>
                    </w:rPr>
                    <w:t>Indicatori di processo</w:t>
                  </w:r>
                </w:p>
                <w:p w:rsidR="00937F39" w:rsidRPr="00937F39" w:rsidRDefault="00937F39" w:rsidP="00937F39">
                  <w:pPr>
                    <w:pStyle w:val="Default"/>
                    <w:rPr>
                      <w:rFonts w:asciiTheme="minorHAnsi" w:hAnsiTheme="minorHAnsi"/>
                    </w:rPr>
                  </w:pPr>
                  <w:r w:rsidRPr="00937F39">
                    <w:rPr>
                      <w:rFonts w:asciiTheme="minorHAnsi" w:hAnsiTheme="minorHAnsi" w:cs="Times New Roman"/>
                      <w:b/>
                      <w:color w:val="auto"/>
                    </w:rPr>
                    <w:t>Fonte: Registri di Attività</w:t>
                  </w:r>
                </w:p>
              </w:tc>
              <w:tc>
                <w:tcPr>
                  <w:tcW w:w="1275" w:type="dxa"/>
                  <w:tcBorders>
                    <w:left w:val="single" w:sz="4" w:space="0" w:color="auto"/>
                    <w:bottom w:val="single" w:sz="4" w:space="0" w:color="auto"/>
                    <w:right w:val="single" w:sz="4" w:space="0" w:color="auto"/>
                  </w:tcBorders>
                  <w:vAlign w:val="center"/>
                </w:tcPr>
                <w:p w:rsidR="00937F39" w:rsidRPr="00937F39" w:rsidRDefault="00937F39" w:rsidP="00937F39">
                  <w:pPr>
                    <w:pStyle w:val="Default"/>
                    <w:jc w:val="center"/>
                    <w:rPr>
                      <w:rFonts w:asciiTheme="minorHAnsi" w:hAnsiTheme="minorHAnsi"/>
                      <w:b/>
                    </w:rPr>
                  </w:pPr>
                  <w:r w:rsidRPr="00937F39">
                    <w:rPr>
                      <w:rFonts w:asciiTheme="minorHAnsi" w:hAnsiTheme="minorHAnsi"/>
                      <w:b/>
                      <w:noProof/>
                      <w:color w:val="262626"/>
                    </w:rPr>
                    <w:t>Baseline</w:t>
                  </w:r>
                </w:p>
              </w:tc>
              <w:tc>
                <w:tcPr>
                  <w:tcW w:w="993" w:type="dxa"/>
                  <w:tcBorders>
                    <w:left w:val="single" w:sz="4" w:space="0" w:color="auto"/>
                    <w:bottom w:val="single" w:sz="4" w:space="0" w:color="auto"/>
                    <w:right w:val="single" w:sz="4" w:space="0" w:color="auto"/>
                  </w:tcBorders>
                  <w:vAlign w:val="center"/>
                </w:tcPr>
                <w:p w:rsidR="00937F39" w:rsidRPr="00937F39" w:rsidRDefault="00937F39" w:rsidP="00937F39">
                  <w:pPr>
                    <w:pStyle w:val="Default"/>
                    <w:ind w:left="107"/>
                    <w:jc w:val="center"/>
                    <w:rPr>
                      <w:rFonts w:asciiTheme="minorHAnsi" w:hAnsiTheme="minorHAnsi"/>
                      <w:b/>
                    </w:rPr>
                  </w:pPr>
                  <w:r w:rsidRPr="00937F39">
                    <w:rPr>
                      <w:rFonts w:asciiTheme="minorHAnsi" w:hAnsiTheme="minorHAnsi" w:cs="Times New Roman"/>
                      <w:b/>
                      <w:color w:val="auto"/>
                    </w:rPr>
                    <w:t>2016</w:t>
                  </w:r>
                </w:p>
              </w:tc>
              <w:tc>
                <w:tcPr>
                  <w:tcW w:w="1075" w:type="dxa"/>
                  <w:tcBorders>
                    <w:left w:val="single" w:sz="4" w:space="0" w:color="auto"/>
                    <w:bottom w:val="single" w:sz="4" w:space="0" w:color="auto"/>
                    <w:right w:val="single" w:sz="4" w:space="0" w:color="auto"/>
                  </w:tcBorders>
                  <w:vAlign w:val="center"/>
                </w:tcPr>
                <w:p w:rsidR="00937F39" w:rsidRPr="00937F39" w:rsidRDefault="00937F39" w:rsidP="00937F39">
                  <w:pPr>
                    <w:pStyle w:val="Default"/>
                    <w:ind w:left="42"/>
                    <w:jc w:val="center"/>
                    <w:rPr>
                      <w:rFonts w:asciiTheme="minorHAnsi" w:hAnsiTheme="minorHAnsi"/>
                      <w:b/>
                    </w:rPr>
                  </w:pPr>
                  <w:r w:rsidRPr="00937F39">
                    <w:rPr>
                      <w:rFonts w:asciiTheme="minorHAnsi" w:hAnsiTheme="minorHAnsi" w:cs="Times New Roman"/>
                      <w:b/>
                      <w:color w:val="auto"/>
                    </w:rPr>
                    <w:t>2017</w:t>
                  </w:r>
                </w:p>
              </w:tc>
              <w:tc>
                <w:tcPr>
                  <w:tcW w:w="1134" w:type="dxa"/>
                  <w:tcBorders>
                    <w:left w:val="single" w:sz="4" w:space="0" w:color="auto"/>
                    <w:bottom w:val="single" w:sz="4" w:space="0" w:color="auto"/>
                    <w:right w:val="single" w:sz="4" w:space="0" w:color="auto"/>
                  </w:tcBorders>
                  <w:vAlign w:val="center"/>
                </w:tcPr>
                <w:p w:rsidR="00937F39" w:rsidRPr="00937F39" w:rsidRDefault="00937F39" w:rsidP="00937F39">
                  <w:pPr>
                    <w:pStyle w:val="Default"/>
                    <w:jc w:val="center"/>
                    <w:rPr>
                      <w:rFonts w:asciiTheme="minorHAnsi" w:hAnsiTheme="minorHAnsi"/>
                      <w:b/>
                    </w:rPr>
                  </w:pPr>
                  <w:r w:rsidRPr="00937F39">
                    <w:rPr>
                      <w:rFonts w:asciiTheme="minorHAnsi" w:hAnsiTheme="minorHAnsi" w:cs="Times New Roman"/>
                      <w:b/>
                      <w:color w:val="auto"/>
                    </w:rPr>
                    <w:t>2018</w:t>
                  </w:r>
                </w:p>
              </w:tc>
            </w:tr>
            <w:tr w:rsidR="00937F39" w:rsidRPr="00937F39" w:rsidTr="00937F39">
              <w:trPr>
                <w:trHeight w:val="1413"/>
              </w:trPr>
              <w:tc>
                <w:tcPr>
                  <w:tcW w:w="4089" w:type="dxa"/>
                  <w:vAlign w:val="center"/>
                </w:tcPr>
                <w:p w:rsidR="00937F39" w:rsidRPr="00937F39" w:rsidRDefault="00937F39" w:rsidP="00937F39">
                  <w:pPr>
                    <w:pStyle w:val="Default"/>
                    <w:rPr>
                      <w:rFonts w:asciiTheme="minorHAnsi" w:hAnsiTheme="minorHAnsi" w:cs="Times New Roman"/>
                      <w:color w:val="auto"/>
                    </w:rPr>
                  </w:pPr>
                  <w:r w:rsidRPr="00937F39">
                    <w:rPr>
                      <w:rFonts w:asciiTheme="minorHAnsi" w:hAnsiTheme="minorHAnsi"/>
                    </w:rPr>
                    <w:t>Proporzione di Istituti Scolastici che aderiscono (con almeno l’80% delle classi) alla progettazione regionale specifica</w:t>
                  </w:r>
                </w:p>
              </w:tc>
              <w:tc>
                <w:tcPr>
                  <w:tcW w:w="1275" w:type="dxa"/>
                  <w:vAlign w:val="center"/>
                </w:tcPr>
                <w:p w:rsidR="00937F39" w:rsidRPr="00937F39" w:rsidRDefault="00937F39" w:rsidP="00937F39">
                  <w:pPr>
                    <w:pStyle w:val="Default"/>
                    <w:ind w:left="75"/>
                    <w:jc w:val="center"/>
                    <w:rPr>
                      <w:rFonts w:asciiTheme="minorHAnsi" w:hAnsiTheme="minorHAnsi" w:cs="Times New Roman"/>
                      <w:color w:val="auto"/>
                    </w:rPr>
                  </w:pPr>
                  <w:r w:rsidRPr="00937F39">
                    <w:rPr>
                      <w:rFonts w:asciiTheme="minorHAnsi" w:hAnsiTheme="minorHAnsi" w:cs="Times New Roman"/>
                      <w:color w:val="auto"/>
                    </w:rPr>
                    <w:t>nessuno</w:t>
                  </w:r>
                </w:p>
              </w:tc>
              <w:tc>
                <w:tcPr>
                  <w:tcW w:w="993" w:type="dxa"/>
                  <w:vAlign w:val="center"/>
                </w:tcPr>
                <w:p w:rsidR="00937F39" w:rsidRPr="00937F39" w:rsidRDefault="00937F39" w:rsidP="00937F39">
                  <w:pPr>
                    <w:pStyle w:val="Default"/>
                    <w:ind w:left="257"/>
                    <w:jc w:val="center"/>
                    <w:rPr>
                      <w:rFonts w:asciiTheme="minorHAnsi" w:hAnsiTheme="minorHAnsi" w:cs="Times New Roman"/>
                      <w:color w:val="auto"/>
                    </w:rPr>
                  </w:pPr>
                  <w:r w:rsidRPr="00937F39">
                    <w:rPr>
                      <w:rFonts w:asciiTheme="minorHAnsi" w:hAnsiTheme="minorHAnsi" w:cs="Times New Roman"/>
                      <w:color w:val="auto"/>
                    </w:rPr>
                    <w:t>5%</w:t>
                  </w:r>
                </w:p>
              </w:tc>
              <w:tc>
                <w:tcPr>
                  <w:tcW w:w="1075" w:type="dxa"/>
                  <w:vAlign w:val="center"/>
                </w:tcPr>
                <w:p w:rsidR="00937F39" w:rsidRPr="00937F39" w:rsidRDefault="00937F39" w:rsidP="00937F39">
                  <w:pPr>
                    <w:pStyle w:val="Default"/>
                    <w:jc w:val="center"/>
                    <w:rPr>
                      <w:rFonts w:asciiTheme="minorHAnsi" w:hAnsiTheme="minorHAnsi" w:cs="Times New Roman"/>
                      <w:color w:val="auto"/>
                    </w:rPr>
                  </w:pPr>
                  <w:r w:rsidRPr="00937F39">
                    <w:rPr>
                      <w:rFonts w:asciiTheme="minorHAnsi" w:hAnsiTheme="minorHAnsi" w:cs="Times New Roman"/>
                      <w:color w:val="auto"/>
                    </w:rPr>
                    <w:t>10%</w:t>
                  </w:r>
                </w:p>
              </w:tc>
              <w:tc>
                <w:tcPr>
                  <w:tcW w:w="1134" w:type="dxa"/>
                  <w:vAlign w:val="center"/>
                </w:tcPr>
                <w:p w:rsidR="00937F39" w:rsidRPr="00937F39" w:rsidRDefault="00937F39" w:rsidP="00937F39">
                  <w:pPr>
                    <w:pStyle w:val="Default"/>
                    <w:jc w:val="center"/>
                    <w:rPr>
                      <w:rFonts w:asciiTheme="minorHAnsi" w:hAnsiTheme="minorHAnsi" w:cs="Times New Roman"/>
                      <w:color w:val="auto"/>
                    </w:rPr>
                  </w:pPr>
                  <w:r w:rsidRPr="00937F39">
                    <w:rPr>
                      <w:rFonts w:asciiTheme="minorHAnsi" w:hAnsiTheme="minorHAnsi" w:cs="Times New Roman"/>
                      <w:color w:val="auto"/>
                    </w:rPr>
                    <w:t>15%</w:t>
                  </w:r>
                </w:p>
              </w:tc>
            </w:tr>
          </w:tbl>
          <w:p w:rsidR="00CF4934" w:rsidRPr="00273D08" w:rsidRDefault="00CF4934" w:rsidP="006E2488">
            <w:pPr>
              <w:ind w:left="720"/>
              <w:jc w:val="both"/>
              <w:rPr>
                <w:b/>
                <w:sz w:val="28"/>
                <w:szCs w:val="28"/>
              </w:rPr>
            </w:pPr>
          </w:p>
        </w:tc>
      </w:tr>
      <w:tr w:rsidR="000449DC" w:rsidRPr="000449DC" w:rsidTr="00D760E2">
        <w:tc>
          <w:tcPr>
            <w:tcW w:w="9778" w:type="dxa"/>
            <w:shd w:val="clear" w:color="auto" w:fill="D9D9D9" w:themeFill="background1" w:themeFillShade="D9"/>
          </w:tcPr>
          <w:p w:rsidR="000449DC" w:rsidRPr="00273D08" w:rsidRDefault="000449DC">
            <w:pPr>
              <w:rPr>
                <w:b/>
                <w:sz w:val="28"/>
                <w:szCs w:val="28"/>
              </w:rPr>
            </w:pPr>
            <w:r>
              <w:rPr>
                <w:b/>
                <w:sz w:val="28"/>
                <w:szCs w:val="28"/>
              </w:rPr>
              <w:t>ATTIVIT</w:t>
            </w:r>
            <w:r w:rsidR="00AB1A8C">
              <w:rPr>
                <w:b/>
                <w:sz w:val="28"/>
                <w:szCs w:val="28"/>
              </w:rPr>
              <w:t>À</w:t>
            </w:r>
          </w:p>
        </w:tc>
      </w:tr>
      <w:tr w:rsidR="000449DC" w:rsidRPr="000449DC" w:rsidTr="00D94A77">
        <w:trPr>
          <w:trHeight w:val="4533"/>
        </w:trPr>
        <w:tc>
          <w:tcPr>
            <w:tcW w:w="9778" w:type="dxa"/>
            <w:vAlign w:val="center"/>
          </w:tcPr>
          <w:p w:rsidR="00D94A77" w:rsidRPr="00D94A77" w:rsidRDefault="00D94A77" w:rsidP="00D94A77">
            <w:pPr>
              <w:widowControl w:val="0"/>
              <w:kinsoku w:val="0"/>
              <w:overflowPunct w:val="0"/>
              <w:autoSpaceDE w:val="0"/>
              <w:autoSpaceDN w:val="0"/>
              <w:adjustRightInd w:val="0"/>
              <w:ind w:left="113" w:right="116" w:firstLine="142"/>
              <w:jc w:val="both"/>
              <w:rPr>
                <w:sz w:val="24"/>
                <w:szCs w:val="24"/>
              </w:rPr>
            </w:pPr>
            <w:r w:rsidRPr="00D94A77">
              <w:rPr>
                <w:sz w:val="24"/>
                <w:szCs w:val="24"/>
              </w:rPr>
              <w:t>Coinvolgere gli educatori (insegnanti e genitori) delle scuole secondarie di primo grado coinvolte  nella attuazione di progetti che aumentino la consapevolezza degli effetti delle radiazioni UV sulla cute.</w:t>
            </w:r>
          </w:p>
          <w:p w:rsidR="00CF4934" w:rsidRDefault="00D94A77" w:rsidP="00D94A77">
            <w:pPr>
              <w:widowControl w:val="0"/>
              <w:kinsoku w:val="0"/>
              <w:overflowPunct w:val="0"/>
              <w:autoSpaceDE w:val="0"/>
              <w:autoSpaceDN w:val="0"/>
              <w:adjustRightInd w:val="0"/>
              <w:ind w:left="113" w:right="116" w:firstLine="142"/>
              <w:jc w:val="both"/>
              <w:rPr>
                <w:sz w:val="24"/>
                <w:szCs w:val="24"/>
              </w:rPr>
            </w:pPr>
            <w:r w:rsidRPr="00D94A77">
              <w:rPr>
                <w:sz w:val="24"/>
                <w:szCs w:val="24"/>
              </w:rPr>
              <w:t>Descrizione:  Si intende effettuare degli incontri di informazione e formazione con gli insegnanti delle scuole secondarie di primo grado e dei genitori rappresentanti di classe aderenti al progetto e fornire supporto metodologico e scientifico per l’attuazione di progetti scolastici volti ad aumentare la consapevolezza nei giovani e giovanissimi delle scuole aderenti.</w:t>
            </w:r>
          </w:p>
          <w:p w:rsidR="00D94A77" w:rsidRPr="00D94A77" w:rsidRDefault="00D94A77" w:rsidP="00D94A77">
            <w:pPr>
              <w:widowControl w:val="0"/>
              <w:kinsoku w:val="0"/>
              <w:overflowPunct w:val="0"/>
              <w:autoSpaceDE w:val="0"/>
              <w:autoSpaceDN w:val="0"/>
              <w:adjustRightInd w:val="0"/>
              <w:ind w:left="113" w:right="116" w:firstLine="142"/>
              <w:jc w:val="both"/>
              <w:rPr>
                <w:sz w:val="24"/>
                <w:szCs w:val="24"/>
              </w:rPr>
            </w:pPr>
            <w:r w:rsidRPr="00D94A77">
              <w:rPr>
                <w:sz w:val="24"/>
                <w:szCs w:val="24"/>
              </w:rPr>
              <w:t>Le Attività principali saranno:</w:t>
            </w:r>
          </w:p>
          <w:p w:rsidR="00D94A77" w:rsidRPr="00D94A77" w:rsidRDefault="00D94A77" w:rsidP="00D94A77">
            <w:pPr>
              <w:widowControl w:val="0"/>
              <w:kinsoku w:val="0"/>
              <w:overflowPunct w:val="0"/>
              <w:autoSpaceDE w:val="0"/>
              <w:autoSpaceDN w:val="0"/>
              <w:adjustRightInd w:val="0"/>
              <w:ind w:left="113" w:right="116" w:firstLine="142"/>
              <w:jc w:val="both"/>
              <w:rPr>
                <w:sz w:val="24"/>
                <w:szCs w:val="24"/>
              </w:rPr>
            </w:pPr>
            <w:r w:rsidRPr="00D94A77">
              <w:rPr>
                <w:sz w:val="24"/>
                <w:szCs w:val="24"/>
              </w:rPr>
              <w:t xml:space="preserve">1. Individuazione delle strutture scolastiche oggetto del progetto  </w:t>
            </w:r>
          </w:p>
          <w:p w:rsidR="00D94A77" w:rsidRPr="00D94A77" w:rsidRDefault="00643B98" w:rsidP="00D94A77">
            <w:pPr>
              <w:widowControl w:val="0"/>
              <w:kinsoku w:val="0"/>
              <w:overflowPunct w:val="0"/>
              <w:autoSpaceDE w:val="0"/>
              <w:autoSpaceDN w:val="0"/>
              <w:adjustRightInd w:val="0"/>
              <w:ind w:left="113" w:right="116" w:firstLine="142"/>
              <w:jc w:val="both"/>
              <w:rPr>
                <w:sz w:val="24"/>
                <w:szCs w:val="24"/>
              </w:rPr>
            </w:pPr>
            <w:r>
              <w:rPr>
                <w:sz w:val="24"/>
                <w:szCs w:val="24"/>
              </w:rPr>
              <w:t xml:space="preserve">2. Sensibilizzazione e informazione sulla relazione </w:t>
            </w:r>
            <w:r w:rsidR="00D94A77" w:rsidRPr="00D94A77">
              <w:rPr>
                <w:sz w:val="24"/>
                <w:szCs w:val="24"/>
              </w:rPr>
              <w:t>fra UV e tumori cutanei agli insegnanti della scuola secondaria di primo grado e ai genitori rappresentanti di classe attraverso incontri formativi-informativi</w:t>
            </w:r>
          </w:p>
          <w:p w:rsidR="00D94A77" w:rsidRPr="00CF4934" w:rsidRDefault="00643B98" w:rsidP="00643B98">
            <w:pPr>
              <w:widowControl w:val="0"/>
              <w:kinsoku w:val="0"/>
              <w:overflowPunct w:val="0"/>
              <w:autoSpaceDE w:val="0"/>
              <w:autoSpaceDN w:val="0"/>
              <w:adjustRightInd w:val="0"/>
              <w:ind w:left="113" w:right="116" w:firstLine="142"/>
              <w:jc w:val="both"/>
              <w:rPr>
                <w:b/>
                <w:sz w:val="28"/>
                <w:szCs w:val="28"/>
              </w:rPr>
            </w:pPr>
            <w:r>
              <w:rPr>
                <w:sz w:val="24"/>
                <w:szCs w:val="24"/>
              </w:rPr>
              <w:t xml:space="preserve">3. </w:t>
            </w:r>
            <w:r w:rsidR="00D94A77" w:rsidRPr="00D94A77">
              <w:rPr>
                <w:sz w:val="24"/>
                <w:szCs w:val="24"/>
              </w:rPr>
              <w:t xml:space="preserve">Supporto e monitoraggio </w:t>
            </w:r>
            <w:r>
              <w:rPr>
                <w:sz w:val="24"/>
                <w:szCs w:val="24"/>
              </w:rPr>
              <w:t>all’</w:t>
            </w:r>
            <w:r w:rsidR="00D94A77" w:rsidRPr="00D94A77">
              <w:rPr>
                <w:sz w:val="24"/>
                <w:szCs w:val="24"/>
              </w:rPr>
              <w:t xml:space="preserve">attuazione di progetti scolastici </w:t>
            </w:r>
            <w:r>
              <w:rPr>
                <w:sz w:val="24"/>
                <w:szCs w:val="24"/>
              </w:rPr>
              <w:t>sul</w:t>
            </w:r>
            <w:r w:rsidR="00D94A77" w:rsidRPr="00D94A77">
              <w:rPr>
                <w:sz w:val="24"/>
                <w:szCs w:val="24"/>
              </w:rPr>
              <w:t xml:space="preserve"> tema </w:t>
            </w:r>
            <w:r>
              <w:rPr>
                <w:sz w:val="24"/>
                <w:szCs w:val="24"/>
              </w:rPr>
              <w:t>de</w:t>
            </w:r>
            <w:r w:rsidR="00D94A77" w:rsidRPr="00D94A77">
              <w:rPr>
                <w:sz w:val="24"/>
                <w:szCs w:val="24"/>
              </w:rPr>
              <w:t>i danni d</w:t>
            </w:r>
            <w:r>
              <w:rPr>
                <w:sz w:val="24"/>
                <w:szCs w:val="24"/>
              </w:rPr>
              <w:t xml:space="preserve">a </w:t>
            </w:r>
            <w:r w:rsidR="00D94A77" w:rsidRPr="00D94A77">
              <w:rPr>
                <w:sz w:val="24"/>
                <w:szCs w:val="24"/>
              </w:rPr>
              <w:t>radiazioni ultraviolette</w:t>
            </w:r>
          </w:p>
        </w:tc>
      </w:tr>
      <w:tr w:rsidR="0071552A" w:rsidRPr="000449DC" w:rsidTr="00D760E2">
        <w:tc>
          <w:tcPr>
            <w:tcW w:w="9778" w:type="dxa"/>
            <w:shd w:val="clear" w:color="auto" w:fill="D9D9D9" w:themeFill="background1" w:themeFillShade="D9"/>
          </w:tcPr>
          <w:p w:rsidR="0071552A" w:rsidRPr="005D5C28" w:rsidRDefault="0071552A" w:rsidP="009936C1">
            <w:pPr>
              <w:jc w:val="center"/>
              <w:rPr>
                <w:b/>
                <w:sz w:val="28"/>
                <w:szCs w:val="28"/>
              </w:rPr>
            </w:pPr>
            <w:r w:rsidRPr="005D5C28">
              <w:rPr>
                <w:b/>
                <w:sz w:val="28"/>
                <w:szCs w:val="28"/>
              </w:rPr>
              <w:t>CRONOPROGRAMMA DEL</w:t>
            </w:r>
            <w:r w:rsidR="009936C1">
              <w:rPr>
                <w:b/>
                <w:sz w:val="28"/>
                <w:szCs w:val="28"/>
              </w:rPr>
              <w:t>L’AZIONE</w:t>
            </w:r>
          </w:p>
        </w:tc>
      </w:tr>
      <w:tr w:rsidR="0071552A" w:rsidRPr="000449DC" w:rsidTr="001125EF">
        <w:trPr>
          <w:trHeight w:val="4242"/>
        </w:trPr>
        <w:tc>
          <w:tcPr>
            <w:tcW w:w="9778" w:type="dxa"/>
            <w:shd w:val="clear" w:color="auto" w:fill="FFFFFF" w:themeFill="background1"/>
          </w:tcPr>
          <w:p w:rsidR="00AB1A8C" w:rsidRPr="005D5C28" w:rsidRDefault="001125EF" w:rsidP="00CD69B1">
            <w:pPr>
              <w:rPr>
                <w:b/>
                <w:sz w:val="28"/>
                <w:szCs w:val="28"/>
              </w:rPr>
            </w:pPr>
            <w:r>
              <w:rPr>
                <w:b/>
                <w:noProof/>
                <w:sz w:val="28"/>
                <w:szCs w:val="28"/>
                <w:lang w:eastAsia="it-IT"/>
              </w:rPr>
              <w:drawing>
                <wp:inline distT="0" distB="0" distL="0" distR="0">
                  <wp:extent cx="6064885" cy="249999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064885" cy="2499995"/>
                          </a:xfrm>
                          <a:prstGeom prst="rect">
                            <a:avLst/>
                          </a:prstGeom>
                          <a:noFill/>
                          <a:ln w="9525">
                            <a:noFill/>
                            <a:miter lim="800000"/>
                            <a:headEnd/>
                            <a:tailEnd/>
                          </a:ln>
                        </pic:spPr>
                      </pic:pic>
                    </a:graphicData>
                  </a:graphic>
                </wp:inline>
              </w:drawing>
            </w:r>
          </w:p>
        </w:tc>
      </w:tr>
      <w:tr w:rsidR="000449DC" w:rsidRPr="000449DC" w:rsidTr="00D760E2">
        <w:tc>
          <w:tcPr>
            <w:tcW w:w="9778" w:type="dxa"/>
            <w:shd w:val="clear" w:color="auto" w:fill="D9D9D9" w:themeFill="background1" w:themeFillShade="D9"/>
          </w:tcPr>
          <w:p w:rsidR="000449DC" w:rsidRPr="00273D08" w:rsidRDefault="000449DC" w:rsidP="000449DC">
            <w:pPr>
              <w:rPr>
                <w:b/>
                <w:sz w:val="28"/>
                <w:szCs w:val="28"/>
              </w:rPr>
            </w:pPr>
            <w:r w:rsidRPr="005D5C28">
              <w:rPr>
                <w:b/>
                <w:sz w:val="28"/>
                <w:szCs w:val="28"/>
              </w:rPr>
              <w:t>ANALISI DEI RISCHI</w:t>
            </w:r>
          </w:p>
        </w:tc>
      </w:tr>
      <w:tr w:rsidR="000449DC" w:rsidRPr="000449DC" w:rsidTr="00937F39">
        <w:trPr>
          <w:trHeight w:val="893"/>
        </w:trPr>
        <w:tc>
          <w:tcPr>
            <w:tcW w:w="9778" w:type="dxa"/>
            <w:vAlign w:val="center"/>
          </w:tcPr>
          <w:p w:rsidR="00476555" w:rsidRPr="00CD69B1" w:rsidRDefault="00937F39" w:rsidP="00937F39">
            <w:pPr>
              <w:widowControl w:val="0"/>
              <w:kinsoku w:val="0"/>
              <w:overflowPunct w:val="0"/>
              <w:autoSpaceDE w:val="0"/>
              <w:autoSpaceDN w:val="0"/>
              <w:adjustRightInd w:val="0"/>
              <w:ind w:left="113" w:right="116" w:firstLine="142"/>
              <w:jc w:val="both"/>
              <w:rPr>
                <w:b/>
                <w:sz w:val="28"/>
                <w:szCs w:val="28"/>
              </w:rPr>
            </w:pPr>
            <w:r w:rsidRPr="00937F39">
              <w:rPr>
                <w:sz w:val="24"/>
                <w:szCs w:val="24"/>
              </w:rPr>
              <w:t>Disponibilità, da verificare, delle strutture scolastiche a partecipare al Programma  e a porre in essere le azioni compatibilmente con il raggiungimento degli obiettivi scolatici</w:t>
            </w:r>
          </w:p>
        </w:tc>
      </w:tr>
    </w:tbl>
    <w:p w:rsidR="00960719" w:rsidRPr="000449DC" w:rsidRDefault="00960719"/>
    <w:sectPr w:rsidR="00960719" w:rsidRPr="000449DC" w:rsidSect="0062602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EA0" w:rsidRDefault="00C54EA0" w:rsidP="008E1BB3">
      <w:pPr>
        <w:spacing w:after="0" w:line="240" w:lineRule="auto"/>
      </w:pPr>
      <w:r>
        <w:separator/>
      </w:r>
    </w:p>
  </w:endnote>
  <w:endnote w:type="continuationSeparator" w:id="0">
    <w:p w:rsidR="00C54EA0" w:rsidRDefault="00C54EA0" w:rsidP="008E1B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024" w:rsidRDefault="0062602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32027"/>
      <w:docPartObj>
        <w:docPartGallery w:val="Page Numbers (Bottom of Page)"/>
        <w:docPartUnique/>
      </w:docPartObj>
    </w:sdtPr>
    <w:sdtContent>
      <w:p w:rsidR="008E1BB3" w:rsidRDefault="008E1BB3">
        <w:pPr>
          <w:pStyle w:val="Pidipagina"/>
          <w:jc w:val="right"/>
        </w:pPr>
        <w:fldSimple w:instr=" PAGE   \* MERGEFORMAT ">
          <w:r w:rsidR="00626024">
            <w:rPr>
              <w:noProof/>
            </w:rPr>
            <w:t>65</w:t>
          </w:r>
        </w:fldSimple>
      </w:p>
    </w:sdtContent>
  </w:sdt>
  <w:p w:rsidR="008E1BB3" w:rsidRDefault="008E1BB3">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024" w:rsidRDefault="0062602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EA0" w:rsidRDefault="00C54EA0" w:rsidP="008E1BB3">
      <w:pPr>
        <w:spacing w:after="0" w:line="240" w:lineRule="auto"/>
      </w:pPr>
      <w:r>
        <w:separator/>
      </w:r>
    </w:p>
  </w:footnote>
  <w:footnote w:type="continuationSeparator" w:id="0">
    <w:p w:rsidR="00C54EA0" w:rsidRDefault="00C54EA0" w:rsidP="008E1B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024" w:rsidRDefault="0062602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024" w:rsidRDefault="0062602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024" w:rsidRDefault="0062602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425"/>
      </w:pPr>
      <w:rPr>
        <w:rFonts w:ascii="Arial" w:hAnsi="Arial" w:cs="Arial"/>
        <w:b w:val="0"/>
        <w:bCs w:val="0"/>
        <w:spacing w:val="-1"/>
        <w:sz w:val="22"/>
        <w:szCs w:val="22"/>
      </w:rPr>
    </w:lvl>
    <w:lvl w:ilvl="1">
      <w:start w:val="1"/>
      <w:numFmt w:val="decimal"/>
      <w:lvlText w:val="%2."/>
      <w:lvlJc w:val="left"/>
      <w:pPr>
        <w:ind w:hanging="360"/>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decimal"/>
      <w:lvlText w:val="%1."/>
      <w:lvlJc w:val="left"/>
      <w:pPr>
        <w:ind w:hanging="360"/>
      </w:pPr>
      <w:rPr>
        <w:rFonts w:ascii="Arial" w:hAnsi="Arial" w:cs="Arial"/>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C00006C"/>
    <w:multiLevelType w:val="hybridMultilevel"/>
    <w:tmpl w:val="D9A066C6"/>
    <w:lvl w:ilvl="0" w:tplc="4EDE0944">
      <w:numFmt w:val="bullet"/>
      <w:lvlText w:val="–"/>
      <w:lvlJc w:val="left"/>
      <w:pPr>
        <w:ind w:left="644"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BCF6271"/>
    <w:multiLevelType w:val="hybridMultilevel"/>
    <w:tmpl w:val="8F624D4A"/>
    <w:lvl w:ilvl="0" w:tplc="CEB809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CB2897"/>
    <w:multiLevelType w:val="hybridMultilevel"/>
    <w:tmpl w:val="A5AE8222"/>
    <w:lvl w:ilvl="0" w:tplc="CEB809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3B01E39"/>
    <w:multiLevelType w:val="hybridMultilevel"/>
    <w:tmpl w:val="6D1AE9B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3A5209FC"/>
    <w:multiLevelType w:val="hybridMultilevel"/>
    <w:tmpl w:val="F2205720"/>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7">
    <w:nsid w:val="42EC0D8D"/>
    <w:multiLevelType w:val="hybridMultilevel"/>
    <w:tmpl w:val="0DD89472"/>
    <w:lvl w:ilvl="0" w:tplc="CEB809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5FB0144"/>
    <w:multiLevelType w:val="hybridMultilevel"/>
    <w:tmpl w:val="0DAE4632"/>
    <w:lvl w:ilvl="0" w:tplc="EED624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8A817FE"/>
    <w:multiLevelType w:val="hybridMultilevel"/>
    <w:tmpl w:val="4D4CB27E"/>
    <w:lvl w:ilvl="0" w:tplc="955EA2BA">
      <w:numFmt w:val="bullet"/>
      <w:lvlText w:val="-"/>
      <w:lvlJc w:val="left"/>
      <w:pPr>
        <w:tabs>
          <w:tab w:val="num" w:pos="720"/>
        </w:tabs>
        <w:ind w:left="720" w:hanging="360"/>
      </w:pPr>
      <w:rPr>
        <w:rFonts w:ascii="Comic Sans MS" w:eastAsia="Calibri" w:hAnsi="Comic Sans MS" w:cs="Times New Roman" w:hint="default"/>
      </w:rPr>
    </w:lvl>
    <w:lvl w:ilvl="1" w:tplc="DD604E5A" w:tentative="1">
      <w:start w:val="1"/>
      <w:numFmt w:val="bullet"/>
      <w:lvlText w:val=""/>
      <w:lvlJc w:val="left"/>
      <w:pPr>
        <w:tabs>
          <w:tab w:val="num" w:pos="1440"/>
        </w:tabs>
        <w:ind w:left="1440" w:hanging="360"/>
      </w:pPr>
      <w:rPr>
        <w:rFonts w:ascii="Wingdings" w:hAnsi="Wingdings" w:hint="default"/>
      </w:rPr>
    </w:lvl>
    <w:lvl w:ilvl="2" w:tplc="2B5844AA" w:tentative="1">
      <w:start w:val="1"/>
      <w:numFmt w:val="bullet"/>
      <w:lvlText w:val=""/>
      <w:lvlJc w:val="left"/>
      <w:pPr>
        <w:tabs>
          <w:tab w:val="num" w:pos="2160"/>
        </w:tabs>
        <w:ind w:left="2160" w:hanging="360"/>
      </w:pPr>
      <w:rPr>
        <w:rFonts w:ascii="Wingdings" w:hAnsi="Wingdings" w:hint="default"/>
      </w:rPr>
    </w:lvl>
    <w:lvl w:ilvl="3" w:tplc="7D4061AE" w:tentative="1">
      <w:start w:val="1"/>
      <w:numFmt w:val="bullet"/>
      <w:lvlText w:val=""/>
      <w:lvlJc w:val="left"/>
      <w:pPr>
        <w:tabs>
          <w:tab w:val="num" w:pos="2880"/>
        </w:tabs>
        <w:ind w:left="2880" w:hanging="360"/>
      </w:pPr>
      <w:rPr>
        <w:rFonts w:ascii="Wingdings" w:hAnsi="Wingdings" w:hint="default"/>
      </w:rPr>
    </w:lvl>
    <w:lvl w:ilvl="4" w:tplc="A5402B6E" w:tentative="1">
      <w:start w:val="1"/>
      <w:numFmt w:val="bullet"/>
      <w:lvlText w:val=""/>
      <w:lvlJc w:val="left"/>
      <w:pPr>
        <w:tabs>
          <w:tab w:val="num" w:pos="3600"/>
        </w:tabs>
        <w:ind w:left="3600" w:hanging="360"/>
      </w:pPr>
      <w:rPr>
        <w:rFonts w:ascii="Wingdings" w:hAnsi="Wingdings" w:hint="default"/>
      </w:rPr>
    </w:lvl>
    <w:lvl w:ilvl="5" w:tplc="61C2AD22" w:tentative="1">
      <w:start w:val="1"/>
      <w:numFmt w:val="bullet"/>
      <w:lvlText w:val=""/>
      <w:lvlJc w:val="left"/>
      <w:pPr>
        <w:tabs>
          <w:tab w:val="num" w:pos="4320"/>
        </w:tabs>
        <w:ind w:left="4320" w:hanging="360"/>
      </w:pPr>
      <w:rPr>
        <w:rFonts w:ascii="Wingdings" w:hAnsi="Wingdings" w:hint="default"/>
      </w:rPr>
    </w:lvl>
    <w:lvl w:ilvl="6" w:tplc="75C8D6FE" w:tentative="1">
      <w:start w:val="1"/>
      <w:numFmt w:val="bullet"/>
      <w:lvlText w:val=""/>
      <w:lvlJc w:val="left"/>
      <w:pPr>
        <w:tabs>
          <w:tab w:val="num" w:pos="5040"/>
        </w:tabs>
        <w:ind w:left="5040" w:hanging="360"/>
      </w:pPr>
      <w:rPr>
        <w:rFonts w:ascii="Wingdings" w:hAnsi="Wingdings" w:hint="default"/>
      </w:rPr>
    </w:lvl>
    <w:lvl w:ilvl="7" w:tplc="6FDCEA3A" w:tentative="1">
      <w:start w:val="1"/>
      <w:numFmt w:val="bullet"/>
      <w:lvlText w:val=""/>
      <w:lvlJc w:val="left"/>
      <w:pPr>
        <w:tabs>
          <w:tab w:val="num" w:pos="5760"/>
        </w:tabs>
        <w:ind w:left="5760" w:hanging="360"/>
      </w:pPr>
      <w:rPr>
        <w:rFonts w:ascii="Wingdings" w:hAnsi="Wingdings" w:hint="default"/>
      </w:rPr>
    </w:lvl>
    <w:lvl w:ilvl="8" w:tplc="494A1AB0" w:tentative="1">
      <w:start w:val="1"/>
      <w:numFmt w:val="bullet"/>
      <w:lvlText w:val=""/>
      <w:lvlJc w:val="left"/>
      <w:pPr>
        <w:tabs>
          <w:tab w:val="num" w:pos="6480"/>
        </w:tabs>
        <w:ind w:left="6480" w:hanging="360"/>
      </w:pPr>
      <w:rPr>
        <w:rFonts w:ascii="Wingdings" w:hAnsi="Wingdings" w:hint="default"/>
      </w:rPr>
    </w:lvl>
  </w:abstractNum>
  <w:abstractNum w:abstractNumId="10">
    <w:nsid w:val="4DF15ECA"/>
    <w:multiLevelType w:val="hybridMultilevel"/>
    <w:tmpl w:val="168EBB56"/>
    <w:lvl w:ilvl="0" w:tplc="213EB7D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2D8674F"/>
    <w:multiLevelType w:val="hybridMultilevel"/>
    <w:tmpl w:val="00AC01C8"/>
    <w:lvl w:ilvl="0" w:tplc="CEB8098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3855FF3"/>
    <w:multiLevelType w:val="hybridMultilevel"/>
    <w:tmpl w:val="926CCCE6"/>
    <w:lvl w:ilvl="0" w:tplc="FC2CAA5C">
      <w:start w:val="1"/>
      <w:numFmt w:val="bullet"/>
      <w:lvlText w:val="_"/>
      <w:lvlJc w:val="left"/>
      <w:pPr>
        <w:ind w:left="720" w:hanging="360"/>
      </w:pPr>
      <w:rPr>
        <w:rFonts w:ascii="Stencil" w:hAnsi="Stenci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D4A311A"/>
    <w:multiLevelType w:val="multilevel"/>
    <w:tmpl w:val="D13A5BA0"/>
    <w:lvl w:ilvl="0">
      <w:start w:val="1"/>
      <w:numFmt w:val="decimal"/>
      <w:lvlText w:val="%1."/>
      <w:lvlJc w:val="left"/>
      <w:pPr>
        <w:ind w:hanging="425"/>
      </w:pPr>
      <w:rPr>
        <w:rFonts w:ascii="Arial" w:hAnsi="Arial" w:cs="Arial"/>
        <w:b w:val="0"/>
        <w:bCs w:val="0"/>
        <w:spacing w:val="-1"/>
        <w:sz w:val="22"/>
        <w:szCs w:val="22"/>
      </w:rPr>
    </w:lvl>
    <w:lvl w:ilvl="1">
      <w:start w:val="1"/>
      <w:numFmt w:val="bullet"/>
      <w:lvlText w:val="_"/>
      <w:lvlJc w:val="left"/>
      <w:pPr>
        <w:ind w:hanging="360"/>
      </w:pPr>
      <w:rPr>
        <w:rFonts w:ascii="Stencil" w:hAnsi="Stencil" w:hint="default"/>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62B61E81"/>
    <w:multiLevelType w:val="hybridMultilevel"/>
    <w:tmpl w:val="69009A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3E33888"/>
    <w:multiLevelType w:val="hybridMultilevel"/>
    <w:tmpl w:val="D6204640"/>
    <w:lvl w:ilvl="0" w:tplc="CEB80988">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72014FF5"/>
    <w:multiLevelType w:val="hybridMultilevel"/>
    <w:tmpl w:val="60AAB4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BA83B69"/>
    <w:multiLevelType w:val="hybridMultilevel"/>
    <w:tmpl w:val="DE78439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7F3A38C5"/>
    <w:multiLevelType w:val="hybridMultilevel"/>
    <w:tmpl w:val="419EC4B6"/>
    <w:lvl w:ilvl="0" w:tplc="CEB809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10"/>
  </w:num>
  <w:num w:numId="5">
    <w:abstractNumId w:val="9"/>
  </w:num>
  <w:num w:numId="6">
    <w:abstractNumId w:val="11"/>
  </w:num>
  <w:num w:numId="7">
    <w:abstractNumId w:val="14"/>
  </w:num>
  <w:num w:numId="8">
    <w:abstractNumId w:val="4"/>
  </w:num>
  <w:num w:numId="9">
    <w:abstractNumId w:val="3"/>
  </w:num>
  <w:num w:numId="10">
    <w:abstractNumId w:val="8"/>
  </w:num>
  <w:num w:numId="11">
    <w:abstractNumId w:val="17"/>
  </w:num>
  <w:num w:numId="12">
    <w:abstractNumId w:val="5"/>
  </w:num>
  <w:num w:numId="13">
    <w:abstractNumId w:val="18"/>
  </w:num>
  <w:num w:numId="14">
    <w:abstractNumId w:val="7"/>
  </w:num>
  <w:num w:numId="15">
    <w:abstractNumId w:val="15"/>
  </w:num>
  <w:num w:numId="16">
    <w:abstractNumId w:val="0"/>
  </w:num>
  <w:num w:numId="17">
    <w:abstractNumId w:val="13"/>
  </w:num>
  <w:num w:numId="18">
    <w:abstractNumId w:val="1"/>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283"/>
  <w:characterSpacingControl w:val="doNotCompress"/>
  <w:footnotePr>
    <w:footnote w:id="-1"/>
    <w:footnote w:id="0"/>
  </w:footnotePr>
  <w:endnotePr>
    <w:endnote w:id="-1"/>
    <w:endnote w:id="0"/>
  </w:endnotePr>
  <w:compat/>
  <w:rsids>
    <w:rsidRoot w:val="000449DC"/>
    <w:rsid w:val="000449DC"/>
    <w:rsid w:val="000903B7"/>
    <w:rsid w:val="001125EF"/>
    <w:rsid w:val="001147BF"/>
    <w:rsid w:val="00160152"/>
    <w:rsid w:val="001D4136"/>
    <w:rsid w:val="0024457A"/>
    <w:rsid w:val="002B068F"/>
    <w:rsid w:val="002B31EC"/>
    <w:rsid w:val="002F0C1A"/>
    <w:rsid w:val="003172D0"/>
    <w:rsid w:val="0039237B"/>
    <w:rsid w:val="003D2037"/>
    <w:rsid w:val="004078D6"/>
    <w:rsid w:val="00476555"/>
    <w:rsid w:val="005C779C"/>
    <w:rsid w:val="00626024"/>
    <w:rsid w:val="00643B98"/>
    <w:rsid w:val="00673B1A"/>
    <w:rsid w:val="006E2488"/>
    <w:rsid w:val="0071552A"/>
    <w:rsid w:val="007E7157"/>
    <w:rsid w:val="00827381"/>
    <w:rsid w:val="008B69CA"/>
    <w:rsid w:val="008E1BB3"/>
    <w:rsid w:val="009035FE"/>
    <w:rsid w:val="00937F39"/>
    <w:rsid w:val="00960719"/>
    <w:rsid w:val="009936C1"/>
    <w:rsid w:val="009B3865"/>
    <w:rsid w:val="00A4410E"/>
    <w:rsid w:val="00A4416A"/>
    <w:rsid w:val="00AB1A8C"/>
    <w:rsid w:val="00B94884"/>
    <w:rsid w:val="00C54EA0"/>
    <w:rsid w:val="00CD69B1"/>
    <w:rsid w:val="00CD6E26"/>
    <w:rsid w:val="00CF4934"/>
    <w:rsid w:val="00D1652F"/>
    <w:rsid w:val="00D760E2"/>
    <w:rsid w:val="00D94A77"/>
    <w:rsid w:val="00E56F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71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44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0449DC"/>
    <w:pPr>
      <w:ind w:left="720"/>
      <w:contextualSpacing/>
      <w:jc w:val="both"/>
    </w:pPr>
  </w:style>
  <w:style w:type="paragraph" w:styleId="NormaleWeb">
    <w:name w:val="Normal (Web)"/>
    <w:basedOn w:val="Normale"/>
    <w:uiPriority w:val="99"/>
    <w:semiHidden/>
    <w:unhideWhenUsed/>
    <w:rsid w:val="00CF49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F4934"/>
  </w:style>
  <w:style w:type="paragraph" w:customStyle="1" w:styleId="Default">
    <w:name w:val="Default"/>
    <w:rsid w:val="002B068F"/>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customStyle="1" w:styleId="a">
    <w:basedOn w:val="Normale"/>
    <w:next w:val="Corpodeltesto"/>
    <w:link w:val="CorpodeltestoCarattere"/>
    <w:uiPriority w:val="99"/>
    <w:qFormat/>
    <w:rsid w:val="002B068F"/>
    <w:pPr>
      <w:widowControl w:val="0"/>
      <w:autoSpaceDE w:val="0"/>
      <w:autoSpaceDN w:val="0"/>
      <w:adjustRightInd w:val="0"/>
      <w:spacing w:after="0" w:line="240" w:lineRule="auto"/>
      <w:ind w:left="112"/>
    </w:pPr>
    <w:rPr>
      <w:rFonts w:ascii="Times New Roman" w:hAnsi="Times New Roman" w:cs="Times New Roman"/>
      <w:sz w:val="24"/>
      <w:szCs w:val="24"/>
    </w:rPr>
  </w:style>
  <w:style w:type="character" w:customStyle="1" w:styleId="CorpodeltestoCarattere">
    <w:name w:val="Corpo del testo Carattere"/>
    <w:link w:val="a"/>
    <w:uiPriority w:val="99"/>
    <w:semiHidden/>
    <w:rsid w:val="002B068F"/>
    <w:rPr>
      <w:rFonts w:ascii="Times New Roman" w:hAnsi="Times New Roman" w:cs="Times New Roman"/>
      <w:sz w:val="24"/>
      <w:szCs w:val="24"/>
    </w:rPr>
  </w:style>
  <w:style w:type="paragraph" w:styleId="Corpodeltesto">
    <w:name w:val="Body Text"/>
    <w:basedOn w:val="Normale"/>
    <w:link w:val="CorpodeltestoCarattere1"/>
    <w:uiPriority w:val="99"/>
    <w:unhideWhenUsed/>
    <w:rsid w:val="002B068F"/>
    <w:pPr>
      <w:spacing w:after="120"/>
    </w:pPr>
  </w:style>
  <w:style w:type="character" w:customStyle="1" w:styleId="CorpodeltestoCarattere1">
    <w:name w:val="Corpo del testo Carattere1"/>
    <w:basedOn w:val="Carpredefinitoparagrafo"/>
    <w:link w:val="Corpodeltesto"/>
    <w:uiPriority w:val="99"/>
    <w:rsid w:val="002B068F"/>
  </w:style>
  <w:style w:type="paragraph" w:customStyle="1" w:styleId="TableParagraph">
    <w:name w:val="Table Paragraph"/>
    <w:basedOn w:val="Normale"/>
    <w:uiPriority w:val="1"/>
    <w:qFormat/>
    <w:rsid w:val="002B068F"/>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125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25EF"/>
    <w:rPr>
      <w:rFonts w:ascii="Tahoma" w:hAnsi="Tahoma" w:cs="Tahoma"/>
      <w:sz w:val="16"/>
      <w:szCs w:val="16"/>
    </w:rPr>
  </w:style>
  <w:style w:type="paragraph" w:styleId="Intestazione">
    <w:name w:val="header"/>
    <w:basedOn w:val="Normale"/>
    <w:link w:val="IntestazioneCarattere"/>
    <w:uiPriority w:val="99"/>
    <w:semiHidden/>
    <w:unhideWhenUsed/>
    <w:rsid w:val="008E1B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E1BB3"/>
  </w:style>
  <w:style w:type="paragraph" w:styleId="Pidipagina">
    <w:name w:val="footer"/>
    <w:basedOn w:val="Normale"/>
    <w:link w:val="PidipaginaCarattere"/>
    <w:uiPriority w:val="99"/>
    <w:unhideWhenUsed/>
    <w:rsid w:val="008E1B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1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449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0449DC"/>
    <w:pPr>
      <w:ind w:left="720"/>
      <w:contextualSpacing/>
      <w:jc w:val="both"/>
    </w:pPr>
  </w:style>
  <w:style w:type="paragraph" w:styleId="NormaleWeb">
    <w:name w:val="Normal (Web)"/>
    <w:basedOn w:val="Normale"/>
    <w:uiPriority w:val="99"/>
    <w:semiHidden/>
    <w:unhideWhenUsed/>
    <w:rsid w:val="00CF49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F4934"/>
  </w:style>
  <w:style w:type="paragraph" w:customStyle="1" w:styleId="Default">
    <w:name w:val="Default"/>
    <w:rsid w:val="002B068F"/>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customStyle="1" w:styleId="a">
    <w:basedOn w:val="Normale"/>
    <w:next w:val="Corpotesto"/>
    <w:link w:val="CorpodeltestoCarattere"/>
    <w:uiPriority w:val="99"/>
    <w:qFormat/>
    <w:rsid w:val="002B068F"/>
    <w:pPr>
      <w:widowControl w:val="0"/>
      <w:autoSpaceDE w:val="0"/>
      <w:autoSpaceDN w:val="0"/>
      <w:adjustRightInd w:val="0"/>
      <w:spacing w:after="0" w:line="240" w:lineRule="auto"/>
      <w:ind w:left="112"/>
    </w:pPr>
    <w:rPr>
      <w:rFonts w:ascii="Times New Roman" w:hAnsi="Times New Roman" w:cs="Times New Roman"/>
      <w:sz w:val="24"/>
      <w:szCs w:val="24"/>
    </w:rPr>
  </w:style>
  <w:style w:type="character" w:customStyle="1" w:styleId="CorpodeltestoCarattere">
    <w:name w:val="Corpo del testo Carattere"/>
    <w:link w:val="a"/>
    <w:uiPriority w:val="99"/>
    <w:semiHidden/>
    <w:rsid w:val="002B068F"/>
    <w:rPr>
      <w:rFonts w:ascii="Times New Roman" w:hAnsi="Times New Roman" w:cs="Times New Roman"/>
      <w:sz w:val="24"/>
      <w:szCs w:val="24"/>
    </w:rPr>
  </w:style>
  <w:style w:type="paragraph" w:styleId="Corpotesto">
    <w:name w:val="Body Text"/>
    <w:basedOn w:val="Normale"/>
    <w:link w:val="CorpotestoCarattere"/>
    <w:uiPriority w:val="99"/>
    <w:unhideWhenUsed/>
    <w:rsid w:val="002B068F"/>
    <w:pPr>
      <w:spacing w:after="120"/>
    </w:pPr>
  </w:style>
  <w:style w:type="character" w:customStyle="1" w:styleId="CorpotestoCarattere">
    <w:name w:val="Corpo testo Carattere"/>
    <w:basedOn w:val="Carpredefinitoparagrafo"/>
    <w:link w:val="Corpotesto"/>
    <w:uiPriority w:val="99"/>
    <w:rsid w:val="002B068F"/>
  </w:style>
  <w:style w:type="paragraph" w:customStyle="1" w:styleId="TableParagraph">
    <w:name w:val="Table Paragraph"/>
    <w:basedOn w:val="Normale"/>
    <w:uiPriority w:val="1"/>
    <w:qFormat/>
    <w:rsid w:val="002B068F"/>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8169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1041</Words>
  <Characters>5938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maria</cp:lastModifiedBy>
  <cp:revision>12</cp:revision>
  <dcterms:created xsi:type="dcterms:W3CDTF">2015-05-18T12:18:00Z</dcterms:created>
  <dcterms:modified xsi:type="dcterms:W3CDTF">2015-05-19T14:47:00Z</dcterms:modified>
</cp:coreProperties>
</file>