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EF" w:rsidRPr="002A22EF" w:rsidRDefault="002A22EF" w:rsidP="002A22EF">
      <w:pPr>
        <w:jc w:val="center"/>
        <w:rPr>
          <w:b/>
          <w:sz w:val="36"/>
          <w:szCs w:val="28"/>
          <w:lang w:eastAsia="ar-SA"/>
        </w:rPr>
      </w:pPr>
      <w:r w:rsidRPr="002A22EF">
        <w:rPr>
          <w:b/>
          <w:sz w:val="36"/>
          <w:szCs w:val="28"/>
          <w:lang w:eastAsia="ar-SA"/>
        </w:rPr>
        <w:t xml:space="preserve">Patto di Integrità: </w:t>
      </w:r>
    </w:p>
    <w:p w:rsidR="002A22EF" w:rsidRPr="002A22EF" w:rsidRDefault="002A22EF" w:rsidP="002A22EF">
      <w:pPr>
        <w:jc w:val="center"/>
        <w:rPr>
          <w:rFonts w:ascii="Garamond" w:hAnsi="Garamond"/>
          <w:b/>
          <w:bCs/>
          <w:sz w:val="36"/>
          <w:szCs w:val="28"/>
        </w:rPr>
      </w:pPr>
    </w:p>
    <w:p w:rsidR="002A22EF" w:rsidRPr="002A22EF" w:rsidRDefault="002A22EF" w:rsidP="002A22EF">
      <w:pPr>
        <w:jc w:val="center"/>
        <w:rPr>
          <w:rFonts w:ascii="Garamond" w:hAnsi="Garamond"/>
          <w:b/>
          <w:bCs/>
          <w:sz w:val="36"/>
          <w:szCs w:val="28"/>
        </w:rPr>
      </w:pPr>
    </w:p>
    <w:p w:rsidR="002A22EF" w:rsidRPr="002A22EF" w:rsidRDefault="002A22EF" w:rsidP="002A22EF">
      <w:pPr>
        <w:jc w:val="center"/>
        <w:rPr>
          <w:b/>
          <w:bCs/>
          <w:sz w:val="36"/>
          <w:szCs w:val="28"/>
        </w:rPr>
      </w:pPr>
    </w:p>
    <w:p w:rsidR="002A22EF" w:rsidRPr="002A22EF" w:rsidRDefault="002A22EF" w:rsidP="002A22EF">
      <w:pPr>
        <w:jc w:val="both"/>
        <w:rPr>
          <w:rFonts w:ascii="Garamond" w:hAnsi="Garamond"/>
          <w:b/>
          <w:bCs/>
          <w:sz w:val="24"/>
        </w:rPr>
      </w:pPr>
      <w:r w:rsidRPr="002A22EF">
        <w:rPr>
          <w:rFonts w:ascii="Garamond" w:hAnsi="Garamond"/>
          <w:b/>
          <w:bCs/>
          <w:sz w:val="24"/>
        </w:rPr>
        <w:t>relativo a (estremi della gara) ………….……………………………….………….…………………………………………………………………………………………………………</w:t>
      </w:r>
    </w:p>
    <w:p w:rsidR="002A22EF" w:rsidRPr="002A22EF" w:rsidRDefault="002A22EF" w:rsidP="002A22EF">
      <w:pPr>
        <w:jc w:val="both"/>
        <w:rPr>
          <w:rFonts w:ascii="Garamond" w:hAnsi="Garamond"/>
          <w:b/>
          <w:bCs/>
          <w:sz w:val="24"/>
        </w:rPr>
      </w:pPr>
    </w:p>
    <w:p w:rsidR="002A22EF" w:rsidRPr="002A22EF" w:rsidRDefault="002A22EF" w:rsidP="002A22EF">
      <w:pPr>
        <w:jc w:val="center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tra</w:t>
      </w:r>
    </w:p>
    <w:p w:rsidR="002A22EF" w:rsidRPr="002A22EF" w:rsidRDefault="002A22EF" w:rsidP="002A22EF">
      <w:pPr>
        <w:jc w:val="center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il/la …….(stazione appaltante)……</w:t>
      </w:r>
    </w:p>
    <w:p w:rsidR="002A22EF" w:rsidRPr="002A22EF" w:rsidRDefault="002A22EF" w:rsidP="002A22EF">
      <w:pPr>
        <w:jc w:val="center"/>
        <w:rPr>
          <w:rFonts w:ascii="Garamond" w:hAnsi="Garamond"/>
          <w:sz w:val="24"/>
        </w:rPr>
      </w:pPr>
    </w:p>
    <w:p w:rsidR="002A22EF" w:rsidRPr="002A22EF" w:rsidRDefault="002A22EF" w:rsidP="002A22EF">
      <w:pPr>
        <w:jc w:val="center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e</w:t>
      </w:r>
    </w:p>
    <w:p w:rsidR="002A22EF" w:rsidRPr="002A22EF" w:rsidRDefault="002A22EF" w:rsidP="002A22EF">
      <w:pPr>
        <w:jc w:val="center"/>
        <w:rPr>
          <w:rFonts w:ascii="Garamond" w:hAnsi="Garamond"/>
          <w:sz w:val="24"/>
        </w:rPr>
      </w:pP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la Ditta …………………..…………………………………………. (di seguito denominata Ditta),</w:t>
      </w: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sede legale in ………………………….., via ………………………………………….……n…….</w:t>
      </w: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codice fiscale/P.IVA ……………………….………., rappresentata da ……………………………..</w:t>
      </w: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……………………………….... in qualità di ………..……………………………………………..</w:t>
      </w: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</w:p>
    <w:p w:rsidR="002A22EF" w:rsidRPr="002A22EF" w:rsidRDefault="002A22EF" w:rsidP="002A22EF">
      <w:pPr>
        <w:jc w:val="both"/>
        <w:rPr>
          <w:rFonts w:ascii="Garamond" w:hAnsi="Garamond"/>
          <w:b/>
          <w:bCs/>
          <w:i/>
          <w:iCs/>
          <w:sz w:val="24"/>
        </w:rPr>
      </w:pPr>
      <w:r w:rsidRPr="002A22EF">
        <w:rPr>
          <w:rFonts w:ascii="Garamond" w:hAnsi="Garamond"/>
          <w:b/>
          <w:bCs/>
          <w:i/>
          <w:iCs/>
          <w:sz w:val="24"/>
        </w:rPr>
        <w:t>Il presente documento deve essere obbligatoriamente sottoscritto e presentato insieme all’offerta</w:t>
      </w:r>
      <w:r w:rsidR="00C33F58">
        <w:rPr>
          <w:rFonts w:ascii="Garamond" w:hAnsi="Garamond"/>
          <w:b/>
          <w:bCs/>
          <w:i/>
          <w:iCs/>
          <w:sz w:val="24"/>
        </w:rPr>
        <w:t xml:space="preserve"> </w:t>
      </w:r>
      <w:r w:rsidRPr="002A22EF">
        <w:rPr>
          <w:rFonts w:ascii="Garamond" w:hAnsi="Garamond"/>
          <w:b/>
          <w:bCs/>
          <w:i/>
          <w:iCs/>
          <w:sz w:val="24"/>
        </w:rPr>
        <w:t>da ciascun partecipante alla gara in oggetto. La mancata consegna del presente documento</w:t>
      </w:r>
      <w:r w:rsidR="00C33F58">
        <w:rPr>
          <w:rFonts w:ascii="Garamond" w:hAnsi="Garamond"/>
          <w:b/>
          <w:bCs/>
          <w:i/>
          <w:iCs/>
          <w:sz w:val="24"/>
        </w:rPr>
        <w:t xml:space="preserve"> </w:t>
      </w:r>
      <w:bookmarkStart w:id="0" w:name="_GoBack"/>
      <w:bookmarkEnd w:id="0"/>
      <w:r w:rsidRPr="002A22EF">
        <w:rPr>
          <w:rFonts w:ascii="Garamond" w:hAnsi="Garamond"/>
          <w:b/>
          <w:bCs/>
          <w:i/>
          <w:iCs/>
          <w:sz w:val="24"/>
        </w:rPr>
        <w:t>debitamente sottoscritto comporterà l’esclusione automatica dalla gara.</w:t>
      </w:r>
    </w:p>
    <w:p w:rsidR="002A22EF" w:rsidRPr="002A22EF" w:rsidRDefault="002A22EF" w:rsidP="002A22EF">
      <w:pPr>
        <w:jc w:val="both"/>
        <w:rPr>
          <w:rFonts w:ascii="Garamond" w:hAnsi="Garamond"/>
          <w:b/>
          <w:bCs/>
          <w:i/>
          <w:iCs/>
          <w:sz w:val="24"/>
        </w:rPr>
      </w:pPr>
    </w:p>
    <w:p w:rsidR="002A22EF" w:rsidRPr="002A22EF" w:rsidRDefault="002A22EF" w:rsidP="002A22EF">
      <w:pPr>
        <w:jc w:val="center"/>
        <w:rPr>
          <w:rFonts w:ascii="Garamond" w:hAnsi="Garamond"/>
          <w:b/>
          <w:bCs/>
          <w:sz w:val="24"/>
        </w:rPr>
      </w:pPr>
      <w:r w:rsidRPr="002A22EF">
        <w:rPr>
          <w:rFonts w:ascii="Garamond" w:hAnsi="Garamond"/>
          <w:b/>
          <w:bCs/>
          <w:sz w:val="24"/>
        </w:rPr>
        <w:t>VISTO</w:t>
      </w:r>
    </w:p>
    <w:p w:rsidR="002A22EF" w:rsidRPr="002A22EF" w:rsidRDefault="002A22EF" w:rsidP="002A22EF">
      <w:pPr>
        <w:jc w:val="center"/>
        <w:rPr>
          <w:rFonts w:ascii="Garamond" w:hAnsi="Garamond"/>
          <w:b/>
          <w:bCs/>
          <w:sz w:val="24"/>
        </w:rPr>
      </w:pP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- La legge 6 novembre 2012 n. 190, art. 1, comma 17 recante “Disposizioni per la prevenzione</w:t>
      </w:r>
      <w:r w:rsidR="00C33F58">
        <w:rPr>
          <w:rFonts w:ascii="Garamond" w:hAnsi="Garamond"/>
          <w:sz w:val="24"/>
        </w:rPr>
        <w:t xml:space="preserve"> </w:t>
      </w:r>
      <w:r w:rsidRPr="002A22EF">
        <w:rPr>
          <w:rFonts w:ascii="Garamond" w:hAnsi="Garamond"/>
          <w:sz w:val="24"/>
        </w:rPr>
        <w:t>e la repressione della corruzione e dell'illegalità nella pubblica amministrazione”;</w:t>
      </w: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- il Piano Nazionale Anticorruzione (P.N.A.) emanato dall’Autorità Nazionale Anti</w:t>
      </w:r>
      <w:r w:rsidR="00C33F58">
        <w:rPr>
          <w:rFonts w:ascii="Garamond" w:hAnsi="Garamond"/>
          <w:sz w:val="24"/>
        </w:rPr>
        <w:t>c</w:t>
      </w:r>
      <w:r w:rsidRPr="002A22EF">
        <w:rPr>
          <w:rFonts w:ascii="Garamond" w:hAnsi="Garamond"/>
          <w:sz w:val="24"/>
        </w:rPr>
        <w:t>orruzione</w:t>
      </w:r>
      <w:r w:rsidR="00C33F58">
        <w:rPr>
          <w:rFonts w:ascii="Garamond" w:hAnsi="Garamond"/>
          <w:sz w:val="24"/>
        </w:rPr>
        <w:t xml:space="preserve"> </w:t>
      </w:r>
      <w:r w:rsidRPr="002A22EF">
        <w:rPr>
          <w:rFonts w:ascii="Garamond" w:hAnsi="Garamond"/>
          <w:sz w:val="24"/>
        </w:rPr>
        <w:t>e per la valutazione e la trasparenza delle amministrazioni pubbliche (ex CIVIT) approvato</w:t>
      </w:r>
      <w:r w:rsidR="00C33F58">
        <w:rPr>
          <w:rFonts w:ascii="Garamond" w:hAnsi="Garamond"/>
          <w:sz w:val="24"/>
        </w:rPr>
        <w:t xml:space="preserve"> </w:t>
      </w:r>
      <w:r w:rsidRPr="002A22EF">
        <w:rPr>
          <w:rFonts w:ascii="Garamond" w:hAnsi="Garamond"/>
          <w:sz w:val="24"/>
        </w:rPr>
        <w:t>con delibera n. 72/2013, contenente “Disposizioni per la prevenzione e la repressione della</w:t>
      </w:r>
      <w:r w:rsidR="00C33F58">
        <w:rPr>
          <w:rFonts w:ascii="Garamond" w:hAnsi="Garamond"/>
          <w:sz w:val="24"/>
        </w:rPr>
        <w:t xml:space="preserve"> </w:t>
      </w:r>
      <w:r w:rsidRPr="002A22EF">
        <w:rPr>
          <w:rFonts w:ascii="Garamond" w:hAnsi="Garamond"/>
          <w:sz w:val="24"/>
        </w:rPr>
        <w:t>corruzione e dell’illegalità nella pubblica amministrazione”;</w:t>
      </w: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- il Piano Triennale di Prevenzione della Corruzione (P.T.P.C) 20</w:t>
      </w:r>
      <w:r w:rsidR="00C33F58">
        <w:rPr>
          <w:rFonts w:ascii="Garamond" w:hAnsi="Garamond"/>
          <w:sz w:val="24"/>
        </w:rPr>
        <w:t>20</w:t>
      </w:r>
      <w:r w:rsidRPr="002A22EF">
        <w:rPr>
          <w:rFonts w:ascii="Garamond" w:hAnsi="Garamond"/>
          <w:sz w:val="24"/>
        </w:rPr>
        <w:t xml:space="preserve"> -20</w:t>
      </w:r>
      <w:r w:rsidR="00C33F58">
        <w:rPr>
          <w:rFonts w:ascii="Garamond" w:hAnsi="Garamond"/>
          <w:sz w:val="24"/>
        </w:rPr>
        <w:t xml:space="preserve">22 </w:t>
      </w:r>
      <w:r w:rsidRPr="002A22EF">
        <w:rPr>
          <w:rFonts w:ascii="Garamond" w:hAnsi="Garamond"/>
          <w:sz w:val="24"/>
        </w:rPr>
        <w:t xml:space="preserve">per le istituzioni scolastiche della Regione </w:t>
      </w:r>
      <w:r w:rsidR="00C33F58">
        <w:rPr>
          <w:rFonts w:ascii="Garamond" w:hAnsi="Garamond"/>
          <w:sz w:val="24"/>
        </w:rPr>
        <w:t>Abruzzo,</w:t>
      </w:r>
      <w:r w:rsidRPr="002A22EF">
        <w:rPr>
          <w:rFonts w:ascii="Garamond" w:hAnsi="Garamond"/>
          <w:sz w:val="24"/>
        </w:rPr>
        <w:t xml:space="preserve"> adottato con decreto ministeriale n. </w:t>
      </w:r>
    </w:p>
    <w:p w:rsidR="002A22EF" w:rsidRPr="002A22EF" w:rsidRDefault="002A22EF" w:rsidP="002A22EF">
      <w:pPr>
        <w:jc w:val="both"/>
        <w:rPr>
          <w:b/>
          <w:sz w:val="32"/>
          <w:szCs w:val="24"/>
        </w:rPr>
      </w:pPr>
      <w:r w:rsidRPr="002A22EF">
        <w:rPr>
          <w:rFonts w:ascii="Garamond" w:hAnsi="Garamond"/>
          <w:sz w:val="24"/>
        </w:rPr>
        <w:t>- il decreto del Presidente della Repubblica 16 aprile 2013, n. 62 con il quale è stato emanato il“Regolamento recante il codice di comportamento dei dipendenti pubblici”,</w:t>
      </w:r>
    </w:p>
    <w:p w:rsidR="002A22EF" w:rsidRPr="002A22EF" w:rsidRDefault="002A22EF" w:rsidP="002A22EF">
      <w:pPr>
        <w:jc w:val="center"/>
        <w:rPr>
          <w:rFonts w:ascii="Garamond" w:hAnsi="Garamond"/>
          <w:b/>
          <w:bCs/>
          <w:sz w:val="24"/>
        </w:rPr>
      </w:pPr>
      <w:r w:rsidRPr="002A22EF">
        <w:rPr>
          <w:rFonts w:ascii="Garamond" w:hAnsi="Garamond"/>
          <w:sz w:val="24"/>
        </w:rPr>
        <w:t>-</w:t>
      </w:r>
      <w:r w:rsidRPr="002A22EF">
        <w:rPr>
          <w:rFonts w:ascii="Garamond" w:hAnsi="Garamond"/>
          <w:b/>
          <w:bCs/>
          <w:sz w:val="24"/>
        </w:rPr>
        <w:t>SI CONVIENE QUANTO SEGUE</w:t>
      </w:r>
    </w:p>
    <w:p w:rsidR="002A22EF" w:rsidRPr="002A22EF" w:rsidRDefault="002A22EF" w:rsidP="002A22EF">
      <w:pPr>
        <w:jc w:val="center"/>
        <w:rPr>
          <w:rFonts w:ascii="Garamond" w:hAnsi="Garamond"/>
          <w:b/>
          <w:bCs/>
          <w:sz w:val="24"/>
        </w:rPr>
      </w:pPr>
    </w:p>
    <w:p w:rsidR="002A22EF" w:rsidRPr="002A22EF" w:rsidRDefault="002A22EF" w:rsidP="002A22EF">
      <w:pPr>
        <w:jc w:val="center"/>
        <w:rPr>
          <w:rFonts w:ascii="Garamond" w:hAnsi="Garamond"/>
          <w:b/>
          <w:bCs/>
          <w:sz w:val="24"/>
        </w:rPr>
      </w:pPr>
      <w:r w:rsidRPr="002A22EF">
        <w:rPr>
          <w:rFonts w:ascii="Garamond" w:hAnsi="Garamond"/>
          <w:b/>
          <w:bCs/>
          <w:sz w:val="24"/>
        </w:rPr>
        <w:t>Articolo 1</w:t>
      </w: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 xml:space="preserve">Il presente Patto d’integrità stabilisce la formale obbligazione della Ditta che, ai fini della partecipazione alla gara in oggetto, si impegna: </w:t>
      </w:r>
    </w:p>
    <w:p w:rsidR="002A22EF" w:rsidRPr="002A22EF" w:rsidRDefault="002A22EF" w:rsidP="002A22EF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2A22EF" w:rsidRPr="002A22EF" w:rsidRDefault="002A22EF" w:rsidP="002A22EF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2A22EF" w:rsidRPr="002A22EF" w:rsidRDefault="002A22EF" w:rsidP="002A22EF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2A22EF" w:rsidRPr="002A22EF" w:rsidRDefault="002A22EF" w:rsidP="002A22EF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lastRenderedPageBreak/>
        <w:t>ad informare puntualmente tutto il personale, di cui si avvale, del presente Patto di integrità e degli obblighi in esso contenuti;</w:t>
      </w:r>
    </w:p>
    <w:p w:rsidR="002A22EF" w:rsidRPr="002A22EF" w:rsidRDefault="002A22EF" w:rsidP="002A22EF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a vigilare affinché gli impegni sopra indicati siano osservati da tutti i collaboratori e dipendenti nell’esercizio dei compiti loro assegnati;</w:t>
      </w:r>
    </w:p>
    <w:p w:rsidR="002A22EF" w:rsidRPr="002A22EF" w:rsidRDefault="002A22EF" w:rsidP="002A22EF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a denunciare alla Pubblica Autorità competente ogni irregolarità o distorsione di cui sia venuta a conoscenza per quanto attiene l’attività di cui all’oggetto della gara in causa.</w:t>
      </w: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</w:p>
    <w:p w:rsidR="002A22EF" w:rsidRPr="002A22EF" w:rsidRDefault="002A22EF" w:rsidP="002A22EF">
      <w:pPr>
        <w:jc w:val="center"/>
        <w:rPr>
          <w:rFonts w:ascii="Garamond" w:hAnsi="Garamond"/>
          <w:b/>
          <w:sz w:val="24"/>
        </w:rPr>
      </w:pPr>
      <w:r w:rsidRPr="002A22EF">
        <w:rPr>
          <w:rFonts w:ascii="Garamond" w:hAnsi="Garamond"/>
          <w:b/>
          <w:sz w:val="24"/>
        </w:rPr>
        <w:t>Articolo 2</w:t>
      </w:r>
    </w:p>
    <w:p w:rsidR="002A22EF" w:rsidRPr="002A22EF" w:rsidRDefault="002A22EF" w:rsidP="002A22EF">
      <w:pPr>
        <w:jc w:val="center"/>
        <w:rPr>
          <w:rFonts w:ascii="Garamond" w:hAnsi="Garamond"/>
          <w:b/>
          <w:sz w:val="24"/>
        </w:rPr>
      </w:pP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2A22EF" w:rsidRPr="002A22EF" w:rsidRDefault="002A22EF" w:rsidP="002A22EF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esclusione del concorrente dalla gara;</w:t>
      </w:r>
    </w:p>
    <w:p w:rsidR="002A22EF" w:rsidRPr="002A22EF" w:rsidRDefault="002A22EF" w:rsidP="002A22EF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escussione della cauzione di validità dell’offerta;</w:t>
      </w:r>
    </w:p>
    <w:p w:rsidR="002A22EF" w:rsidRPr="002A22EF" w:rsidRDefault="002A22EF" w:rsidP="002A22EF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risoluzione del contratto;</w:t>
      </w:r>
    </w:p>
    <w:p w:rsidR="002A22EF" w:rsidRPr="002A22EF" w:rsidRDefault="002A22EF" w:rsidP="002A22EF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escussione della cauzione di buona esecuzione del contratto;</w:t>
      </w:r>
    </w:p>
    <w:p w:rsidR="002A22EF" w:rsidRPr="002A22EF" w:rsidRDefault="002A22EF" w:rsidP="002A22EF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esclusione del concorrente dalle gare indette dalla stazione appaltante per 5 anni.</w:t>
      </w: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</w:p>
    <w:p w:rsidR="002A22EF" w:rsidRPr="002A22EF" w:rsidRDefault="002A22EF" w:rsidP="002A22EF">
      <w:pPr>
        <w:jc w:val="center"/>
        <w:rPr>
          <w:rFonts w:ascii="Garamond" w:hAnsi="Garamond"/>
          <w:b/>
          <w:sz w:val="24"/>
        </w:rPr>
      </w:pPr>
      <w:r w:rsidRPr="002A22EF">
        <w:rPr>
          <w:rFonts w:ascii="Garamond" w:hAnsi="Garamond"/>
          <w:b/>
          <w:sz w:val="24"/>
        </w:rPr>
        <w:t>Articolo 3</w:t>
      </w:r>
    </w:p>
    <w:p w:rsidR="002A22EF" w:rsidRPr="002A22EF" w:rsidRDefault="002A22EF" w:rsidP="002A22EF">
      <w:pPr>
        <w:jc w:val="center"/>
        <w:rPr>
          <w:rFonts w:ascii="Garamond" w:hAnsi="Garamond"/>
          <w:sz w:val="24"/>
        </w:rPr>
      </w:pP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</w:p>
    <w:p w:rsidR="002A22EF" w:rsidRPr="002A22EF" w:rsidRDefault="002A22EF" w:rsidP="002A22EF">
      <w:pPr>
        <w:jc w:val="center"/>
        <w:rPr>
          <w:rFonts w:ascii="Garamond" w:hAnsi="Garamond"/>
          <w:b/>
          <w:sz w:val="24"/>
        </w:rPr>
      </w:pPr>
      <w:r w:rsidRPr="002A22EF">
        <w:rPr>
          <w:rFonts w:ascii="Garamond" w:hAnsi="Garamond"/>
          <w:b/>
          <w:sz w:val="24"/>
        </w:rPr>
        <w:t>Articolo 4</w:t>
      </w:r>
    </w:p>
    <w:p w:rsidR="002A22EF" w:rsidRPr="002A22EF" w:rsidRDefault="002A22EF" w:rsidP="002A22EF">
      <w:pPr>
        <w:jc w:val="center"/>
        <w:rPr>
          <w:rFonts w:ascii="Garamond" w:hAnsi="Garamond"/>
          <w:sz w:val="24"/>
        </w:rPr>
      </w:pP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</w:p>
    <w:p w:rsidR="002A22EF" w:rsidRPr="002A22EF" w:rsidRDefault="002A22EF" w:rsidP="002A22EF">
      <w:pPr>
        <w:jc w:val="center"/>
        <w:rPr>
          <w:rFonts w:ascii="Garamond" w:hAnsi="Garamond"/>
          <w:b/>
          <w:sz w:val="24"/>
        </w:rPr>
      </w:pPr>
      <w:r w:rsidRPr="002A22EF">
        <w:rPr>
          <w:rFonts w:ascii="Garamond" w:hAnsi="Garamond"/>
          <w:b/>
          <w:sz w:val="24"/>
        </w:rPr>
        <w:t>Articolo 5</w:t>
      </w:r>
    </w:p>
    <w:p w:rsidR="002A22EF" w:rsidRPr="002A22EF" w:rsidRDefault="002A22EF" w:rsidP="002A22EF">
      <w:pPr>
        <w:jc w:val="center"/>
        <w:rPr>
          <w:rFonts w:ascii="Garamond" w:hAnsi="Garamond"/>
          <w:b/>
          <w:sz w:val="24"/>
        </w:rPr>
      </w:pP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>Luogo e data ………………….</w:t>
      </w:r>
    </w:p>
    <w:p w:rsidR="002A22EF" w:rsidRPr="002A22EF" w:rsidRDefault="002A22EF" w:rsidP="002A22EF">
      <w:pPr>
        <w:jc w:val="both"/>
        <w:rPr>
          <w:rFonts w:ascii="Garamond" w:hAnsi="Garamond"/>
          <w:sz w:val="24"/>
        </w:rPr>
      </w:pPr>
      <w:r w:rsidRPr="002A22EF">
        <w:rPr>
          <w:rFonts w:ascii="Garamond" w:hAnsi="Garamond"/>
          <w:sz w:val="24"/>
        </w:rPr>
        <w:tab/>
      </w:r>
      <w:r w:rsidRPr="002A22EF">
        <w:rPr>
          <w:rFonts w:ascii="Garamond" w:hAnsi="Garamond"/>
          <w:sz w:val="24"/>
        </w:rPr>
        <w:tab/>
      </w:r>
      <w:r w:rsidRPr="002A22EF">
        <w:rPr>
          <w:rFonts w:ascii="Garamond" w:hAnsi="Garamond"/>
          <w:sz w:val="24"/>
        </w:rPr>
        <w:tab/>
      </w:r>
      <w:r w:rsidRPr="002A22EF">
        <w:rPr>
          <w:rFonts w:ascii="Garamond" w:hAnsi="Garamond"/>
          <w:sz w:val="24"/>
        </w:rPr>
        <w:tab/>
      </w:r>
      <w:r w:rsidRPr="002A22EF">
        <w:rPr>
          <w:rFonts w:ascii="Garamond" w:hAnsi="Garamond"/>
          <w:sz w:val="24"/>
        </w:rPr>
        <w:tab/>
      </w:r>
      <w:r w:rsidRPr="002A22EF">
        <w:rPr>
          <w:rFonts w:ascii="Garamond" w:hAnsi="Garamond"/>
          <w:sz w:val="24"/>
        </w:rPr>
        <w:tab/>
      </w:r>
      <w:r w:rsidRPr="002A22EF">
        <w:rPr>
          <w:rFonts w:ascii="Garamond" w:hAnsi="Garamond"/>
          <w:sz w:val="24"/>
        </w:rPr>
        <w:tab/>
      </w:r>
      <w:r w:rsidRPr="002A22EF">
        <w:rPr>
          <w:rFonts w:ascii="Garamond" w:hAnsi="Garamond"/>
          <w:sz w:val="24"/>
        </w:rPr>
        <w:tab/>
      </w:r>
      <w:r w:rsidRPr="002A22EF">
        <w:rPr>
          <w:rFonts w:ascii="Garamond" w:hAnsi="Garamond"/>
          <w:sz w:val="24"/>
        </w:rPr>
        <w:tab/>
      </w:r>
      <w:r w:rsidRPr="002A22EF">
        <w:rPr>
          <w:rFonts w:ascii="Garamond" w:hAnsi="Garamond"/>
          <w:sz w:val="24"/>
        </w:rPr>
        <w:tab/>
        <w:t>Per la ditta:</w:t>
      </w:r>
    </w:p>
    <w:p w:rsidR="002A22EF" w:rsidRPr="002A22EF" w:rsidRDefault="002A22EF" w:rsidP="002A22EF">
      <w:pPr>
        <w:jc w:val="both"/>
        <w:rPr>
          <w:rFonts w:ascii="Garamond" w:hAnsi="Garamond"/>
          <w:b/>
          <w:sz w:val="24"/>
        </w:rPr>
      </w:pPr>
    </w:p>
    <w:p w:rsidR="000F76E9" w:rsidRPr="002A22EF" w:rsidRDefault="000F76E9">
      <w:pPr>
        <w:rPr>
          <w:sz w:val="24"/>
        </w:rPr>
      </w:pPr>
    </w:p>
    <w:sectPr w:rsidR="000F76E9" w:rsidRPr="002A22EF" w:rsidSect="000F76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A22EF"/>
    <w:rsid w:val="000F76E9"/>
    <w:rsid w:val="002A22EF"/>
    <w:rsid w:val="00C3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2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</dc:creator>
  <cp:lastModifiedBy>Administrator</cp:lastModifiedBy>
  <cp:revision>2</cp:revision>
  <dcterms:created xsi:type="dcterms:W3CDTF">2019-01-21T10:43:00Z</dcterms:created>
  <dcterms:modified xsi:type="dcterms:W3CDTF">2020-01-16T12:37:00Z</dcterms:modified>
</cp:coreProperties>
</file>